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864DD1" w:rsidRPr="007D607C" w:rsidTr="0049116C">
        <w:trPr>
          <w:trHeight w:val="741"/>
        </w:trPr>
        <w:tc>
          <w:tcPr>
            <w:tcW w:w="9923" w:type="dxa"/>
          </w:tcPr>
          <w:p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 w:rsidR="009C0B95" w:rsidRPr="009C0B95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4803</w:t>
            </w:r>
          </w:p>
        </w:tc>
      </w:tr>
      <w:tr w:rsidR="00864DD1" w:rsidRPr="007D607C" w:rsidTr="0049116C">
        <w:tc>
          <w:tcPr>
            <w:tcW w:w="9923" w:type="dxa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:rsidTr="0049116C">
        <w:tc>
          <w:tcPr>
            <w:tcW w:w="9923" w:type="dxa"/>
          </w:tcPr>
          <w:p w:rsidR="00816D1D" w:rsidRDefault="00864DD1" w:rsidP="00816D1D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r w:rsidR="00816D1D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Department of Health Science</w:t>
            </w:r>
          </w:p>
          <w:p w:rsidR="00864DD1" w:rsidRPr="00D0024E" w:rsidRDefault="00816D1D" w:rsidP="00816D1D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S</w:t>
            </w:r>
            <w:r w:rsidR="00864DD1"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cientist- in – charge</w:t>
            </w:r>
            <w:r w:rsidR="00864DD1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 xml:space="preserve"> </w:t>
            </w:r>
            <w:r w:rsidRPr="00816D1D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Prof. Dr. Giulia Marchetti</w:t>
            </w:r>
          </w:p>
        </w:tc>
      </w:tr>
      <w:tr w:rsidR="00864DD1" w:rsidRPr="00990554" w:rsidTr="0049116C">
        <w:tc>
          <w:tcPr>
            <w:tcW w:w="9923" w:type="dxa"/>
          </w:tcPr>
          <w:p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:rsidR="00864DD1" w:rsidRPr="007D607C" w:rsidRDefault="000E6538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>
        <w:rPr>
          <w:rFonts w:ascii="Trebuchet MS" w:eastAsia="Times New Roman" w:hAnsi="Trebuchet MS"/>
          <w:b/>
          <w:sz w:val="20"/>
          <w:szCs w:val="20"/>
          <w:lang w:val="en-US" w:eastAsia="it-IT"/>
        </w:rPr>
        <w:t>Ilamathi Thirusenthilarasan</w:t>
      </w:r>
      <w:r>
        <w:rPr>
          <w:rFonts w:ascii="Trebuchet MS" w:eastAsia="Times New Roman" w:hAnsi="Trebuchet MS"/>
          <w:b/>
          <w:sz w:val="20"/>
          <w:szCs w:val="20"/>
          <w:lang w:val="en-US" w:eastAsia="it-IT"/>
        </w:rPr>
        <w:tab/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969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Thirusenthilarasan (M)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Ilamathi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 of birth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0E6538" w:rsidP="000E6538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09/05/1985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835"/>
      </w:tblGrid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</w:p>
        </w:tc>
      </w:tr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 Manager</w:t>
            </w:r>
          </w:p>
        </w:tc>
        <w:tc>
          <w:tcPr>
            <w:tcW w:w="6835" w:type="dxa"/>
            <w:shd w:val="clear" w:color="auto" w:fill="auto"/>
          </w:tcPr>
          <w:p w:rsidR="00816D1D" w:rsidRDefault="00816D1D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816D1D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Be well laboratories and Life Sciences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 Chennai, India</w:t>
            </w:r>
          </w:p>
          <w:p w:rsidR="000E0AFA" w:rsidRPr="007D607C" w:rsidRDefault="000E0AFA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INR 600000 per annum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126"/>
        <w:gridCol w:w="1984"/>
        <w:gridCol w:w="2866"/>
      </w:tblGrid>
      <w:tr w:rsidR="00864DD1" w:rsidRPr="00990554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B.Tech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Industrial Biotechnology</w:t>
            </w:r>
          </w:p>
        </w:tc>
        <w:tc>
          <w:tcPr>
            <w:tcW w:w="1984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Anna University, India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2002</w:t>
            </w:r>
          </w:p>
        </w:tc>
      </w:tr>
      <w:tr w:rsidR="000E6538" w:rsidRPr="007D607C" w:rsidTr="0049116C">
        <w:tc>
          <w:tcPr>
            <w:tcW w:w="2836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M.S (By Research)</w:t>
            </w:r>
          </w:p>
        </w:tc>
        <w:tc>
          <w:tcPr>
            <w:tcW w:w="2126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Biotechnology</w:t>
            </w:r>
          </w:p>
        </w:tc>
        <w:tc>
          <w:tcPr>
            <w:tcW w:w="1984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VIT Univrsity</w:t>
            </w:r>
          </w:p>
        </w:tc>
        <w:tc>
          <w:tcPr>
            <w:tcW w:w="2866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2009</w:t>
            </w:r>
          </w:p>
        </w:tc>
      </w:tr>
      <w:tr w:rsidR="000E6538" w:rsidRPr="007D607C" w:rsidTr="0049116C">
        <w:tc>
          <w:tcPr>
            <w:tcW w:w="2836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Ph.D`</w:t>
            </w:r>
          </w:p>
        </w:tc>
        <w:tc>
          <w:tcPr>
            <w:tcW w:w="2126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Biotechnology</w:t>
            </w:r>
          </w:p>
        </w:tc>
        <w:tc>
          <w:tcPr>
            <w:tcW w:w="1984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SASTRA University</w:t>
            </w:r>
          </w:p>
        </w:tc>
        <w:tc>
          <w:tcPr>
            <w:tcW w:w="2866" w:type="dxa"/>
            <w:shd w:val="clear" w:color="auto" w:fill="auto"/>
          </w:tcPr>
          <w:p w:rsidR="000E6538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2017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  <w:r w:rsidR="000E6538">
        <w:rPr>
          <w:rFonts w:ascii="Trebuchet MS" w:eastAsia="Times New Roman" w:hAnsi="Trebuchet MS"/>
          <w:sz w:val="20"/>
          <w:szCs w:val="20"/>
          <w:lang w:eastAsia="it-IT"/>
        </w:rPr>
        <w:t xml:space="preserve"> – NA</w:t>
      </w:r>
      <w:r w:rsidR="000E6538">
        <w:rPr>
          <w:rFonts w:ascii="Trebuchet MS" w:eastAsia="Times New Roman" w:hAnsi="Trebuchet MS"/>
          <w:sz w:val="20"/>
          <w:szCs w:val="20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387"/>
        <w:gridCol w:w="2551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 of registration</w:t>
            </w:r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</w:tblGrid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lastRenderedPageBreak/>
              <w:t>English</w:t>
            </w:r>
          </w:p>
        </w:tc>
        <w:tc>
          <w:tcPr>
            <w:tcW w:w="2835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Fluent (IELTS 7 band score)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36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0E653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</w:t>
            </w:r>
            <w:r w:rsidR="00CF5871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8536" w:type="dxa"/>
            <w:shd w:val="clear" w:color="auto" w:fill="auto"/>
          </w:tcPr>
          <w:p w:rsidR="00864DD1" w:rsidRPr="007D607C" w:rsidRDefault="00CF587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Scientific Excellence (Junior Category) awarded by Biozone Research Technologies Pvt. Ltd, Chennai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CF587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2013-2015</w:t>
            </w:r>
          </w:p>
        </w:tc>
        <w:tc>
          <w:tcPr>
            <w:tcW w:w="8536" w:type="dxa"/>
            <w:shd w:val="clear" w:color="auto" w:fill="auto"/>
          </w:tcPr>
          <w:p w:rsidR="00864DD1" w:rsidRPr="007D607C" w:rsidRDefault="00CF587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Junior Research fellowship – DST-SERB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CF587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2015 -2016</w:t>
            </w:r>
          </w:p>
        </w:tc>
        <w:tc>
          <w:tcPr>
            <w:tcW w:w="8536" w:type="dxa"/>
            <w:shd w:val="clear" w:color="auto" w:fill="auto"/>
          </w:tcPr>
          <w:p w:rsidR="00864DD1" w:rsidRPr="007D607C" w:rsidRDefault="00CF587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Senior Research fellowship – DST-SERB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305C97" w:rsidRPr="00305C97" w:rsidRDefault="00305C97" w:rsidP="00305C9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DOCTORAL RESEARCH:</w:t>
            </w:r>
          </w:p>
          <w:p w:rsidR="00305C97" w:rsidRPr="00305C97" w:rsidRDefault="00305C97" w:rsidP="00305C9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Title: Multifaceted role of trioxane derivative against hepatocellular carcinoma : in silico, in vitro and in vivo perspectives</w:t>
            </w:r>
          </w:p>
          <w:p w:rsidR="00305C97" w:rsidRPr="00305C97" w:rsidRDefault="00305C97" w:rsidP="00305C9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Duration: Four years</w:t>
            </w:r>
          </w:p>
          <w:p w:rsidR="00305C97" w:rsidRPr="00305C97" w:rsidRDefault="00305C97" w:rsidP="00305C9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Summary: Hepatocellular carcinoma (HCC) is one of the frequently diagnosed malignant neoplasms of liver and is the third-most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frequent cause of cancer mortality worldwide. Many reports affirm the phosphorylation of STAT3 in HCC with relevance to IL-6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mediated JAK/STAT pathway. This creates an urge to identify a novel agent which will inhibit STAT3 and thereby abrogate HCC. To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confirm our hypothesis, we chose six Trioxane (Tx) derivatives (Artemisinin, Artemether, Artesunate (ATS), Dihydroartemisin,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Parthenolide and Thapsigargin) and evaluated their STAT3 inhibitory potential.</w:t>
            </w:r>
          </w:p>
          <w:p w:rsidR="00305C97" w:rsidRPr="00305C97" w:rsidRDefault="00305C97" w:rsidP="00305C9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 preliminary comparative study among the six Tx derivatives in comparison to S3I-201 (standard STAT3 inhibitor) were carried out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using a uni</w:t>
            </w:r>
            <w:r w:rsidRPr="00305C97">
              <w:rPr>
                <w:rFonts w:ascii="Trebuchet MS" w:eastAsia="Times New Roman" w:hAnsi="Trebuchet MS" w:cs="Trebuchet MS"/>
                <w:sz w:val="20"/>
                <w:szCs w:val="20"/>
                <w:lang w:eastAsia="it-IT"/>
              </w:rPr>
              <w:t>􀁊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ed computational approach to identify the best potential inhibitor (Tx) of activated STAT3. From the computational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analysis, ATS was selected as the best inhibitor of STAT3 among the six Tx derivatives.</w:t>
            </w:r>
          </w:p>
          <w:p w:rsidR="00305C97" w:rsidRPr="00305C97" w:rsidRDefault="00305C97" w:rsidP="00305C9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 vitro studies were carried out in liver cancer cell lines (HepG2, Huh7 and PLC/PR5 cells) to con</w:t>
            </w:r>
            <w:r w:rsidRPr="00305C97">
              <w:rPr>
                <w:rFonts w:ascii="Trebuchet MS" w:eastAsia="Times New Roman" w:hAnsi="Trebuchet MS" w:cs="Trebuchet MS"/>
                <w:sz w:val="20"/>
                <w:szCs w:val="20"/>
                <w:lang w:eastAsia="it-IT"/>
              </w:rPr>
              <w:t>􀁊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rm experimentally the role of STAT3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inhibition by ATS (IC50-20 μM). ATS was found to interfere with STAT3 dimerization and STAT3-DNA binding activity. The protein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expression analysis showed ATS down-regulated activated STAT3 expression in a dose and time dependent manner.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We also analysed the role of ATS in sensitizing HepG2 cells towards TRAIL mediated apoptosis. It was also compared with the standard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drug - Oxaliplatin (OXP). ATS sensitized HepG2 cells towards TRAIL effectively by up-regulating the expression of DR4. This was due to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the inhibition of STAT3 activation and prevention of its nuclear translocation by ATS thereby favouring apoptosis.</w:t>
            </w:r>
          </w:p>
          <w:p w:rsidR="00864DD1" w:rsidRPr="007D607C" w:rsidRDefault="00305C97" w:rsidP="0070737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The ef</w:t>
            </w:r>
            <w:r w:rsidRPr="00305C97">
              <w:rPr>
                <w:rFonts w:ascii="Trebuchet MS" w:eastAsia="Times New Roman" w:hAnsi="Trebuchet MS" w:cs="Trebuchet MS"/>
                <w:sz w:val="20"/>
                <w:szCs w:val="20"/>
                <w:lang w:eastAsia="it-IT"/>
              </w:rPr>
              <w:t>􀁊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cacy of ATS to abrogate HCC was studied in vivo in an experimental NDEA mediated hepatocarcinogenesis model (in male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Wistar rats). Morphological appearances of rat liver; enzymatic and non-enzymatic parameters; histopathological analysis and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molecular level expression analysis of STAT3 dependent proteins were studied extensively. ATS was found to favourably induce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apoptosis and also enhanced the expression of SOCS3, thus controlling proliferation of cancer cells. ATS successfully modulated the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expression of the JAK/STAT pathway signalling molecules via a feedback loop inhibition mechanism. Our results overwhelmingly</w:t>
            </w:r>
            <w:r w:rsid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c</w:t>
            </w:r>
            <w:r w:rsidRPr="00305C9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onfirmed the therapeutic and inhibitory potential of ATS against STAT3 thereby resulting in abrogation of HCC.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05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707373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2006- 2009</w:t>
            </w:r>
          </w:p>
        </w:tc>
        <w:tc>
          <w:tcPr>
            <w:tcW w:w="8505" w:type="dxa"/>
            <w:shd w:val="clear" w:color="auto" w:fill="auto"/>
          </w:tcPr>
          <w:p w:rsidR="00305C97" w:rsidRDefault="00305C97" w:rsidP="0030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</w:pP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M.S (RESEARCH) PROJECT:</w:t>
            </w:r>
          </w:p>
          <w:p w:rsidR="00305C97" w:rsidRDefault="00305C97" w:rsidP="0030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</w:pP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Title: Study of chromium stress on Escherichia coli and Saccharomyces cerevisiae.</w:t>
            </w:r>
          </w:p>
          <w:p w:rsidR="00305C97" w:rsidRDefault="00305C97" w:rsidP="0030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</w:pP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Duration: Three years</w:t>
            </w:r>
          </w:p>
          <w:p w:rsidR="00864DD1" w:rsidRPr="007D607C" w:rsidRDefault="00305C97" w:rsidP="00707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Summary: Isolated Escherichia coli strain from effluent and its tolerance to chromium was compared with lab strain. Growth patterns</w:t>
            </w:r>
            <w:r w:rsidR="00707373"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of the organism (Escherichia coli and Saccharomyces cerevisiae) in different concentrations of chromium were studied. The total</w:t>
            </w:r>
            <w:r w:rsidR="00707373"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chromium uptake was determined by Flame Atomic Absorption Spectroscopy and the reduction of Cr (VI) to Cr(III) was analysed using a</w:t>
            </w:r>
            <w:r w:rsidR="00707373"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colorometric method with 1,5- Diphenyl carbazide. The protein expressions were also studied.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707373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2002</w:t>
            </w:r>
          </w:p>
        </w:tc>
        <w:tc>
          <w:tcPr>
            <w:tcW w:w="8505" w:type="dxa"/>
            <w:shd w:val="clear" w:color="auto" w:fill="auto"/>
          </w:tcPr>
          <w:p w:rsidR="00305C97" w:rsidRDefault="00305C97" w:rsidP="0030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</w:pPr>
          </w:p>
          <w:p w:rsidR="00305C97" w:rsidRDefault="00305C97" w:rsidP="0030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</w:pP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 xml:space="preserve">Biochemical and Molecular characterisation of plant growth promoting rhizobacteria </w:t>
            </w:r>
            <w:r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  <w:t xml:space="preserve">-Gluconacetobacter diazotrophicus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pal5</w:t>
            </w:r>
          </w:p>
          <w:p w:rsidR="00305C97" w:rsidRDefault="00305C97" w:rsidP="0030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</w:pPr>
          </w:p>
          <w:p w:rsidR="00864DD1" w:rsidRPr="007D607C" w:rsidRDefault="00305C97" w:rsidP="00707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  <w:t xml:space="preserve">Glucanacetobacter diazotrophicus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 xml:space="preserve">was isolated from soil to study its use as a biocontrol agent against </w:t>
            </w:r>
            <w:r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  <w:t>Colletotrichum</w:t>
            </w:r>
            <w:r w:rsidR="00707373"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PTSerif-Regular" w:eastAsiaTheme="minorHAnsi" w:hAnsi="PTSerif-Regular" w:cs="PTSerif-Regular"/>
                <w:sz w:val="17"/>
                <w:szCs w:val="17"/>
                <w:lang w:val="en-US"/>
              </w:rPr>
              <w:t xml:space="preserve">falcantum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causing red rot, a deadly disease in sugarcane. Nitrogen fixing ability, IAA production, heavy metals’ solubilisation</w:t>
            </w:r>
            <w:r w:rsidR="00707373"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Serif-Regular" w:eastAsiaTheme="minorHAnsi" w:hAnsi="PTSerif-Regular" w:cs="PTSerif-Regular"/>
                <w:sz w:val="16"/>
                <w:szCs w:val="16"/>
                <w:lang w:val="en-US"/>
              </w:rPr>
              <w:t>and antagonistic activity were characterized.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707373" w:rsidRPr="00707373" w:rsidRDefault="00707373" w:rsidP="0070737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1. M. Ilamathi, V. Sivaramakrishnan, Artesunate acts as fuel to </w:t>
            </w:r>
            <w:r w:rsidRPr="00707373">
              <w:rPr>
                <w:rFonts w:ascii="Trebuchet MS" w:eastAsia="Times New Roman" w:hAnsi="Trebuchet MS" w:cs="Trebuchet MS"/>
                <w:sz w:val="20"/>
                <w:szCs w:val="20"/>
                <w:lang w:eastAsia="it-IT"/>
              </w:rPr>
              <w:t>􀁉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 in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sensitizing HepG2 cells towards TRAIL mediated apoptosis via STAT3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inhibition and DR4 augmentation. Biomed Pharmacother. (2017) doi:</w:t>
            </w:r>
          </w:p>
          <w:p w:rsidR="00864DD1" w:rsidRPr="007D607C" w:rsidRDefault="00707373" w:rsidP="0070737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10.1016/j.biopha.2017.01.086.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707373" w:rsidP="0070737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2. M. Ilamathi, P.C. Prabu, K.A. Ayyappa, V. Sivaramakrishnan, Artesunate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obliterates experimental hepatocellular carcinoma in rats through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suppression of IL-6-JAK-STAT signalling, Biomed. Pharmacothe 82 (2016)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72– 79. doi:10.1016/j.biopha.2016.04.061.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707373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3. M. Ilamathi, S. Santhosh, V. Sivaramakrishnan, Artesunate as an anti-cancer</w:t>
            </w:r>
            <w:r w:rsidR="00BF0AE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agent targets STAT-3 and favorably suppresses hepatocellular carcinoma.,</w:t>
            </w:r>
            <w:r w:rsidR="00BF0AE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70737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 Top. Med. Chem. 16 (2016).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4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. V Sivaramakrishnan, M. Ilamathi, KS. Girish, K. Kemparaju, KS. Rangappa,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B.L. Dhananjaya, Viper venom hyaluronidase and its potential inhibitor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analysis: a multipronged computational investigation, J. Biomol. Struct.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 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Dyn. (2016) </w:t>
            </w:r>
          </w:p>
        </w:tc>
      </w:tr>
      <w:tr w:rsidR="00BF0AE6" w:rsidRPr="00990554" w:rsidTr="0049116C">
        <w:tc>
          <w:tcPr>
            <w:tcW w:w="9747" w:type="dxa"/>
            <w:shd w:val="clear" w:color="auto" w:fill="auto"/>
          </w:tcPr>
          <w:p w:rsidR="00BF0AE6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5. V. Sivaramakrishnan, M. Ilamathi, K.S. Ghosh, S. Sathish, T. V Gowda, B.S. Vishwanath, K.S. Rangappa, B.L. Dhananjaya, Virtual analysis of structurally diverse synthetic analogs as inhibitors of snake venom secretory phospholipase A2., J. Mol. Recognit. 29 (2016) 22–32</w:t>
            </w:r>
          </w:p>
        </w:tc>
      </w:tr>
      <w:tr w:rsidR="00BF0AE6" w:rsidRPr="00990554" w:rsidTr="0049116C">
        <w:tc>
          <w:tcPr>
            <w:tcW w:w="9747" w:type="dxa"/>
            <w:shd w:val="clear" w:color="auto" w:fill="auto"/>
          </w:tcPr>
          <w:p w:rsidR="00BF0AE6" w:rsidRPr="00BF0AE6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6. M. Ilamathi, R. Hemanth, S. Nishanth, V. Sivaramakrishnan, Identi</w:t>
            </w:r>
            <w:r w:rsidRPr="00BF0AE6">
              <w:rPr>
                <w:rFonts w:ascii="Trebuchet MS" w:eastAsia="Times New Roman" w:hAnsi="Trebuchet MS" w:cs="Trebuchet MS"/>
                <w:sz w:val="20"/>
                <w:szCs w:val="20"/>
                <w:lang w:val="en-GB" w:eastAsia="it-IT"/>
              </w:rPr>
              <w:t>􀁉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cation of potential transmembrane protease serine 4 inhibitors as anti-cancer agents by integrated computational approac, J. Theor. Biol. 389 (2016) 253–62.</w:t>
            </w:r>
          </w:p>
        </w:tc>
      </w:tr>
      <w:tr w:rsidR="00BF0AE6" w:rsidRPr="00990554" w:rsidTr="0049116C">
        <w:tc>
          <w:tcPr>
            <w:tcW w:w="9747" w:type="dxa"/>
            <w:shd w:val="clear" w:color="auto" w:fill="auto"/>
          </w:tcPr>
          <w:p w:rsidR="00BF0AE6" w:rsidRPr="00BF0AE6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7. M. Ilamathi, S. Senthilkumar, P.C. Prabu, S. Panchapakesan, V. Sivaramakrishnan, Formylchromone exhibits salubrious e</w:t>
            </w:r>
            <w:r w:rsidRPr="00BF0AE6">
              <w:rPr>
                <w:rFonts w:ascii="Trebuchet MS" w:eastAsia="Times New Roman" w:hAnsi="Trebuchet MS" w:cs="Trebuchet MS"/>
                <w:sz w:val="20"/>
                <w:szCs w:val="20"/>
                <w:lang w:val="en-GB" w:eastAsia="it-IT"/>
              </w:rPr>
              <w:t>􀁍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ects against nitrosodiethylamine mediated early hepatocellular carcinogenesis in rats, Che Biol. Interact. 219 (2014) 175–183.</w:t>
            </w:r>
          </w:p>
        </w:tc>
      </w:tr>
      <w:tr w:rsidR="00BF0AE6" w:rsidRPr="00990554" w:rsidTr="0049116C">
        <w:tc>
          <w:tcPr>
            <w:tcW w:w="9747" w:type="dxa"/>
            <w:shd w:val="clear" w:color="auto" w:fill="auto"/>
          </w:tcPr>
          <w:p w:rsidR="00BF0AE6" w:rsidRPr="00BF0AE6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8. A.S.Y. Arafat, A. Arun, M. Ilamathi, J. Asha, P.R. Sivashankari, C.J.M. D’Souza, V. Sivaramakrishnan, B.L. Dhananjaya, Homology modeling, molecular dynamics and atomic level interaction study of snake venom 5’ nucleotidase., J. Mol. Model. 20 (2014) 2156.</w:t>
            </w:r>
          </w:p>
        </w:tc>
      </w:tr>
      <w:tr w:rsidR="00BF0AE6" w:rsidRPr="00990554" w:rsidTr="0049116C">
        <w:tc>
          <w:tcPr>
            <w:tcW w:w="9747" w:type="dxa"/>
            <w:shd w:val="clear" w:color="auto" w:fill="auto"/>
          </w:tcPr>
          <w:p w:rsidR="00BF0AE6" w:rsidRPr="00BF0AE6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9. Mahalakshmi, M. Ilamathi, R. Siva, T.. Sridharan, E</w:t>
            </w:r>
            <w:r w:rsidRPr="00BF0AE6">
              <w:rPr>
                <w:rFonts w:ascii="Trebuchet MS" w:eastAsia="Times New Roman" w:hAnsi="Trebuchet MS" w:cs="Trebuchet MS"/>
                <w:sz w:val="20"/>
                <w:szCs w:val="20"/>
                <w:lang w:val="en-GB" w:eastAsia="it-IT"/>
              </w:rPr>
              <w:t>􀁍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ect of nickel stress on Escherichia coli and Saccharomyces cerevisiae, Jr. Ind. Pollut. Control. 26 (2010) 5–13. </w:t>
            </w:r>
          </w:p>
        </w:tc>
      </w:tr>
      <w:tr w:rsidR="00BF0AE6" w:rsidRPr="00990554" w:rsidTr="0049116C">
        <w:tc>
          <w:tcPr>
            <w:tcW w:w="9747" w:type="dxa"/>
            <w:shd w:val="clear" w:color="auto" w:fill="auto"/>
          </w:tcPr>
          <w:p w:rsidR="00BF0AE6" w:rsidRPr="00BF0AE6" w:rsidRDefault="00BF0AE6" w:rsidP="00BF0AE6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10. M. Ilamathi, T. Mahalakshmi, T.. Sridharan, E</w:t>
            </w:r>
            <w:r w:rsidRPr="00BF0AE6">
              <w:rPr>
                <w:rFonts w:ascii="Trebuchet MS" w:eastAsia="Times New Roman" w:hAnsi="Trebuchet MS" w:cs="Trebuchet MS"/>
                <w:sz w:val="20"/>
                <w:szCs w:val="20"/>
                <w:lang w:val="en-GB" w:eastAsia="it-IT"/>
              </w:rPr>
              <w:t>􀁍</w:t>
            </w:r>
            <w:r w:rsidRPr="00BF0AE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ect of chromium on Microbial growth, Asian Microbiol. Biotechnol. Environ. Sci. 10 (2008) 759–764.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 proceedings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Poster presentation in "Artesunate acts as fuel to fire in sensitizing liver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cancer cells towards TRAIL mediated apoptosis via STAT-3 inhibition and DR4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augmentation " in the 2nd International conference on Structural and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Functional Genomics (August 19-20, 2016), held at SASTRA University, India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Oral presentation in “Homology modeling, molecular docking and molecular</w:t>
            </w: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level analysis of trioxanes as STAT3 inhibitors against HCC” in International</w:t>
            </w: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conference on crystal growth and bimolecular crystallography (Nov 28-29,2014), organized by SASTRA University, India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Poster in “Study on tolerance of E.coli and Saccharomyces cereviceae to</w:t>
            </w: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hexavalent chromium “in International Conference on Biotechnology</w:t>
            </w: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conducted in VIT university (Feb 06-08, 2008), Vellore, India.</w:t>
            </w:r>
          </w:p>
        </w:tc>
      </w:tr>
      <w:tr w:rsidR="00926F89" w:rsidRPr="007D607C" w:rsidTr="0049116C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Oral presentation in “Bioleaching” in Bioexplore a national level seminar held</w:t>
            </w: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on (Feb 2005) at Vivekananda College of Engineering, Trichengode, India.</w:t>
            </w:r>
          </w:p>
        </w:tc>
      </w:tr>
      <w:tr w:rsidR="00926F89" w:rsidRPr="007D607C" w:rsidTr="0049116C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Poster in “Phytochemicals” in Biorevolution a national symposium conducted</w:t>
            </w: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(Sep 2004) at Kongunadu College of Arts and Science, Coimbatore, India.</w:t>
            </w:r>
          </w:p>
        </w:tc>
      </w:tr>
    </w:tbl>
    <w:p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926F89" w:rsidRDefault="00926F8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7D607C" w:rsidRDefault="00926F89" w:rsidP="00926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OpenSans-SemiBold" w:eastAsiaTheme="minorHAnsi" w:hAnsi="OpenSans-SemiBold" w:cs="OpenSans-SemiBold"/>
                <w:sz w:val="18"/>
                <w:szCs w:val="18"/>
                <w:lang w:val="en-US"/>
              </w:rPr>
              <w:t>PARTICIPATION IN CONFERENCE/WORKSHOP: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7D607C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Participated in the International conference in Angiogenesis:Technology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 w:rsidRPr="00926F8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and Therapeutics' held at SASTRA University, during 23-25 September, 2015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7D607C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Participated in the 'Schrodinger Workshop on Computational Drug Design' held at SASTRA University, during 27-28 March, 2015.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7D607C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Attended workshop on “Molecular biological tools and techniques” at A.V.C. College (Autonomous), Manampandal on 29.01.2011.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Participated in a workshop on “Effective teaching methods” conducted by IQAC, A.V.C. college, from 02.09.2010 to 07.09.2010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In Fujio Cup Quiz and a conference on “Stem cells and regenerative Medicine” conducted by NCRM on 27th Oct 2007.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In “ International Symposium on Chromosomes to Genome” conducted by Centre for Cellular and Molecular Biology, Hyderabad on July 3-5, 2007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In the national seminar on “Intellectual property rights” on 20 &amp; 21 Jan 2006 at Periyar College of Pharmaceutical Sciences,Trichy</w:t>
            </w:r>
          </w:p>
        </w:tc>
      </w:tr>
      <w:tr w:rsidR="00926F89" w:rsidRPr="007D607C" w:rsidTr="00350B12">
        <w:tc>
          <w:tcPr>
            <w:tcW w:w="9747" w:type="dxa"/>
            <w:shd w:val="clear" w:color="auto" w:fill="auto"/>
          </w:tcPr>
          <w:p w:rsidR="00926F89" w:rsidRPr="00926F89" w:rsidRDefault="00926F89" w:rsidP="00926F8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926F89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In the Workshop on “Techniques in Microbiology, Biochemistry, and Molecular biology” organized from 7th to 13th of Jun 2004 at SNMV College of Arts and Science, Coimbatore.</w:t>
            </w:r>
          </w:p>
        </w:tc>
      </w:tr>
    </w:tbl>
    <w:p w:rsidR="00926F89" w:rsidRDefault="00926F8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926F89" w:rsidRPr="007D607C" w:rsidRDefault="00926F89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926F89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OpenSans-Light" w:eastAsiaTheme="minorHAnsi" w:hAnsi="OpenSans-Light" w:cs="OpenSans-Light"/>
                <w:sz w:val="18"/>
                <w:szCs w:val="18"/>
                <w:lang w:val="en-US"/>
              </w:rPr>
              <w:t>Computer knowledge:  C, C++ languages, MS Office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The present curriculum does not contain confidential and legal information according to art. 4, paragraph 1, points d) and e) of D.Lgs. 30.06.2003 n. 196.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920425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>
        <w:rPr>
          <w:rFonts w:ascii="Trebuchet MS" w:eastAsia="Times New Roman" w:hAnsi="Trebuchet MS"/>
          <w:sz w:val="20"/>
          <w:szCs w:val="20"/>
          <w:lang w:val="en-US" w:eastAsia="it-IT"/>
        </w:rPr>
        <w:t>Place and date: Chennai, 07.12.2020</w:t>
      </w:r>
    </w:p>
    <w:p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ind w:left="6372"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SIGNATURE</w:t>
      </w:r>
    </w:p>
    <w:p w:rsidR="00864DD1" w:rsidRPr="00F6660E" w:rsidRDefault="00816D1D" w:rsidP="00816D1D">
      <w:pPr>
        <w:widowControl w:val="0"/>
        <w:spacing w:before="120" w:after="0" w:line="240" w:lineRule="auto"/>
        <w:ind w:left="6120" w:firstLine="708"/>
        <w:jc w:val="both"/>
        <w:rPr>
          <w:rFonts w:ascii="Trebuchet MS" w:hAnsi="Trebuchet MS"/>
        </w:rPr>
      </w:pPr>
      <w:r>
        <w:rPr>
          <w:rFonts w:ascii="Trebuchet MS" w:eastAsia="Times New Roman" w:hAnsi="Trebuchet MS"/>
          <w:noProof/>
          <w:sz w:val="20"/>
          <w:szCs w:val="20"/>
          <w:lang w:val="en-US"/>
        </w:rPr>
        <w:drawing>
          <wp:inline distT="0" distB="0" distL="0" distR="0">
            <wp:extent cx="1066800" cy="523875"/>
            <wp:effectExtent l="19050" t="0" r="0" b="0"/>
            <wp:docPr id="2" name="Picture 1" descr="C:\Users\KITEZ\Desktop\italy\ilamathi mam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TEZ\Desktop\italy\ilamathi mam s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 l="13846" t="14286" b="20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6689" w:rsidRDefault="00EE6689"/>
    <w:sectPr w:rsidR="00EE6689" w:rsidSect="00F350FB">
      <w:headerReference w:type="default" r:id="rId7"/>
      <w:footerReference w:type="default" r:id="rId8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266" w:rsidRDefault="006B1266" w:rsidP="00B95A20">
      <w:pPr>
        <w:spacing w:after="0" w:line="240" w:lineRule="auto"/>
      </w:pPr>
      <w:r>
        <w:separator/>
      </w:r>
    </w:p>
  </w:endnote>
  <w:endnote w:type="continuationSeparator" w:id="1">
    <w:p w:rsidR="006B1266" w:rsidRDefault="006B1266" w:rsidP="00B9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Serif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45" w:rsidRDefault="00EB2E8C">
    <w:pPr>
      <w:pStyle w:val="Footer"/>
      <w:jc w:val="right"/>
    </w:pPr>
    <w:r>
      <w:fldChar w:fldCharType="begin"/>
    </w:r>
    <w:r w:rsidR="00864DD1">
      <w:instrText>PAGE   \* MERGEFORMAT</w:instrText>
    </w:r>
    <w:r>
      <w:fldChar w:fldCharType="separate"/>
    </w:r>
    <w:r w:rsidR="006B1266">
      <w:rPr>
        <w:noProof/>
      </w:rPr>
      <w:t>1</w:t>
    </w:r>
    <w:r>
      <w:fldChar w:fldCharType="end"/>
    </w:r>
  </w:p>
  <w:p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Università degli Studi di Milano –Direzione Risorse Umane</w:t>
    </w:r>
  </w:p>
  <w:p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 w:rsidRPr="00C170AD">
      <w:rPr>
        <w:color w:val="3D3D3D"/>
        <w:sz w:val="17"/>
        <w:szCs w:val="17"/>
      </w:rPr>
      <w:t>Ufficio Contratti di formazione e Ricerca</w:t>
    </w:r>
  </w:p>
  <w:p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C00145" w:rsidRPr="0074056E" w:rsidRDefault="00864DD1" w:rsidP="00C00145">
    <w:pPr>
      <w:spacing w:line="240" w:lineRule="auto"/>
      <w:contextualSpacing/>
      <w:rPr>
        <w:color w:val="404040"/>
        <w:sz w:val="17"/>
      </w:rPr>
    </w:pPr>
    <w:r w:rsidRPr="00C170AD">
      <w:rPr>
        <w:color w:val="3D3D3D"/>
        <w:sz w:val="17"/>
        <w:szCs w:val="17"/>
      </w:rPr>
      <w:t>Assegni</w:t>
    </w:r>
    <w:r>
      <w:rPr>
        <w:color w:val="3D3D3D"/>
        <w:sz w:val="17"/>
        <w:szCs w:val="17"/>
      </w:rPr>
      <w:t>.ricerca</w:t>
    </w:r>
    <w:r w:rsidRPr="00C170AD">
      <w:rPr>
        <w:color w:val="3D3D3D"/>
        <w:sz w:val="17"/>
        <w:szCs w:val="17"/>
      </w:rPr>
      <w:t>@unimi.it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266" w:rsidRDefault="006B1266" w:rsidP="00B95A20">
      <w:pPr>
        <w:spacing w:after="0" w:line="240" w:lineRule="auto"/>
      </w:pPr>
      <w:r>
        <w:separator/>
      </w:r>
    </w:p>
  </w:footnote>
  <w:footnote w:type="continuationSeparator" w:id="1">
    <w:p w:rsidR="006B1266" w:rsidRDefault="006B1266" w:rsidP="00B9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45" w:rsidRDefault="00864DD1">
    <w:pPr>
      <w:pStyle w:val="Header"/>
      <w:rPr>
        <w:noProof/>
      </w:rPr>
    </w:pPr>
    <w:r w:rsidRPr="00586FD1">
      <w:rPr>
        <w:noProof/>
        <w:lang w:val="en-US" w:eastAsia="en-US"/>
      </w:rPr>
      <w:drawing>
        <wp:inline distT="0" distB="0" distL="0" distR="0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0FB" w:rsidRDefault="006B1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4DD1"/>
    <w:rsid w:val="000E0AFA"/>
    <w:rsid w:val="000E6538"/>
    <w:rsid w:val="001E6E81"/>
    <w:rsid w:val="00305C97"/>
    <w:rsid w:val="006B1266"/>
    <w:rsid w:val="00707373"/>
    <w:rsid w:val="00816D1D"/>
    <w:rsid w:val="008610B3"/>
    <w:rsid w:val="00864DD1"/>
    <w:rsid w:val="008F45AA"/>
    <w:rsid w:val="00920425"/>
    <w:rsid w:val="00926F89"/>
    <w:rsid w:val="009C0B95"/>
    <w:rsid w:val="00A05D6D"/>
    <w:rsid w:val="00B95A20"/>
    <w:rsid w:val="00BF0AE6"/>
    <w:rsid w:val="00CF5871"/>
    <w:rsid w:val="00D96FBB"/>
    <w:rsid w:val="00EB2E8C"/>
    <w:rsid w:val="00EE6689"/>
    <w:rsid w:val="00F124FE"/>
    <w:rsid w:val="00F8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KITEZ</cp:lastModifiedBy>
  <cp:revision>9</cp:revision>
  <dcterms:created xsi:type="dcterms:W3CDTF">2019-09-18T15:03:00Z</dcterms:created>
  <dcterms:modified xsi:type="dcterms:W3CDTF">2020-12-07T17:50:00Z</dcterms:modified>
</cp:coreProperties>
</file>