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</w:p>
    <w:p w14:paraId="3335D47C" w14:textId="21F2EEF1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</w:t>
      </w:r>
      <w:r w:rsidR="006B3F7B">
        <w:rPr>
          <w:rFonts w:ascii="Trebuchet MS" w:hAnsi="Trebuchet MS"/>
          <w:sz w:val="16"/>
          <w:lang w:val="en-US"/>
        </w:rPr>
        <w:t>MIGRATION DAYS CALL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998EB58" w14:textId="7CCD43ED" w:rsidR="00166B4D" w:rsidRDefault="00C744BC" w:rsidP="00FF5E54">
      <w:pPr>
        <w:spacing w:before="240" w:after="0"/>
        <w:ind w:right="566"/>
        <w:jc w:val="center"/>
        <w:rPr>
          <w:rFonts w:ascii="Trebuchet MS" w:hAnsi="Trebuchet MS"/>
          <w:b/>
          <w:sz w:val="21"/>
          <w:szCs w:val="21"/>
          <w:lang w:val="en-GB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</w:t>
      </w:r>
      <w:proofErr w:type="gramStart"/>
      <w:r w:rsidRPr="00C744BC">
        <w:rPr>
          <w:rFonts w:ascii="Trebuchet MS" w:hAnsi="Trebuchet MS"/>
          <w:b/>
          <w:sz w:val="21"/>
          <w:szCs w:val="21"/>
          <w:lang w:val="en-GB"/>
        </w:rPr>
        <w:t>be attached</w:t>
      </w:r>
      <w:proofErr w:type="gramEnd"/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to the online application to the </w:t>
      </w:r>
      <w:r w:rsidR="006B3F7B">
        <w:rPr>
          <w:rFonts w:ascii="Trebuchet MS" w:hAnsi="Trebuchet MS"/>
          <w:b/>
          <w:sz w:val="21"/>
          <w:szCs w:val="21"/>
          <w:lang w:val="en-GB"/>
        </w:rPr>
        <w:t>MIGRATION DAYS (May</w:t>
      </w:r>
      <w:r w:rsidR="00166B4D">
        <w:rPr>
          <w:rFonts w:ascii="Trebuchet MS" w:hAnsi="Trebuchet MS"/>
          <w:b/>
          <w:sz w:val="21"/>
          <w:szCs w:val="21"/>
          <w:lang w:val="en-GB"/>
        </w:rPr>
        <w:t xml:space="preserve"> 17-22, 2021)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</w:p>
    <w:p w14:paraId="33257A28" w14:textId="0F57E27F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proofErr w:type="gramStart"/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</w:t>
      </w:r>
      <w:proofErr w:type="gramEnd"/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 xml:space="preserve">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6CF7818E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 xml:space="preserve">the </w:t>
      </w:r>
      <w:r w:rsidR="006B3F7B">
        <w:rPr>
          <w:lang w:val="en-GB"/>
        </w:rPr>
        <w:t>Call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proofErr w:type="gramStart"/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proofErr w:type="gramEnd"/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  <w:bookmarkStart w:id="0" w:name="_GoBack"/>
      <w:bookmarkEnd w:id="0"/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F729617" w14:textId="49F4E14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2730A01" w14:textId="22539E75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7CF2BD06" w14:textId="074A9D2C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77777777" w:rsidR="0021667D" w:rsidRPr="00982F73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65784705" w14:textId="28B3241E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7B7D6804" w14:textId="77777777" w:rsidR="00AB3B06" w:rsidRDefault="00AB3B06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6B3F7B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6B3F7B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6B3F7B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deal with most situations likely to arise whilst travelling in an area where the language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is spoken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6B3F7B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use simple phrases and sentences to describe where I live and people </w:t>
            </w:r>
            <w:proofErr w:type="gramStart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</w:t>
            </w:r>
            <w:proofErr w:type="gramEnd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6B3F7B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in clear, well-structured text, expressing points of view at some length. I can write about complex subjects in a letter, an essay or a report, underlining what I consider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 be the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05E5EA79" w:rsidR="00F43871" w:rsidRPr="00166B4D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GB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21667D">
        <w:rPr>
          <w:rFonts w:ascii="Garamond" w:hAnsi="Garamond"/>
          <w:sz w:val="18"/>
          <w:szCs w:val="18"/>
          <w:lang w:val="en-US"/>
        </w:rPr>
        <w:t xml:space="preserve">the </w:t>
      </w:r>
      <w:r w:rsidR="00166B4D" w:rsidRPr="00166B4D">
        <w:rPr>
          <w:rFonts w:ascii="Garamond" w:hAnsi="Garamond"/>
          <w:sz w:val="18"/>
          <w:szCs w:val="18"/>
          <w:lang w:val="en-GB"/>
        </w:rPr>
        <w:t>Call for applications Migration Days (17-22 May, 2021)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qQUAvE10giwAAAA="/>
  </w:docVars>
  <w:rsids>
    <w:rsidRoot w:val="005874BF"/>
    <w:rsid w:val="00093D51"/>
    <w:rsid w:val="000B1234"/>
    <w:rsid w:val="000B14E4"/>
    <w:rsid w:val="000E72E4"/>
    <w:rsid w:val="000E7480"/>
    <w:rsid w:val="001335B5"/>
    <w:rsid w:val="00144D7D"/>
    <w:rsid w:val="00152067"/>
    <w:rsid w:val="00154DD3"/>
    <w:rsid w:val="00166B4D"/>
    <w:rsid w:val="00175C7E"/>
    <w:rsid w:val="001E46E0"/>
    <w:rsid w:val="00201345"/>
    <w:rsid w:val="0021667D"/>
    <w:rsid w:val="002639D4"/>
    <w:rsid w:val="0026466A"/>
    <w:rsid w:val="002B46B6"/>
    <w:rsid w:val="00323F89"/>
    <w:rsid w:val="003A157A"/>
    <w:rsid w:val="003B6390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B3F7B"/>
    <w:rsid w:val="006E676B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AB3B06"/>
    <w:rsid w:val="00B03429"/>
    <w:rsid w:val="00B07805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8BCE-B236-4B74-8643-40BFF5EE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katia paola elena righini</cp:lastModifiedBy>
  <cp:revision>39</cp:revision>
  <cp:lastPrinted>2018-01-26T09:40:00Z</cp:lastPrinted>
  <dcterms:created xsi:type="dcterms:W3CDTF">2017-12-13T12:41:00Z</dcterms:created>
  <dcterms:modified xsi:type="dcterms:W3CDTF">2021-04-06T06:11:00Z</dcterms:modified>
</cp:coreProperties>
</file>