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2FF3" w14:textId="77777777" w:rsidR="006B7681" w:rsidRDefault="006B7681" w:rsidP="004B4584">
      <w:pPr>
        <w:spacing w:before="80"/>
        <w:ind w:left="9356" w:right="114" w:hanging="8789"/>
        <w:jc w:val="center"/>
        <w:rPr>
          <w:b/>
          <w:noProof/>
          <w:sz w:val="28"/>
          <w:lang w:val="it-IT" w:eastAsia="it-IT"/>
        </w:rPr>
      </w:pPr>
      <w:r w:rsidRPr="00BB394E">
        <w:rPr>
          <w:noProof/>
          <w:highlight w:val="yellow"/>
          <w:lang w:val="it-IT" w:eastAsia="it-IT"/>
        </w:rPr>
        <w:drawing>
          <wp:inline distT="0" distB="0" distL="0" distR="0" wp14:anchorId="52A7DEEA" wp14:editId="0D1F920D">
            <wp:extent cx="5991225" cy="1009650"/>
            <wp:effectExtent l="0" t="0" r="9525" b="0"/>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1009650"/>
                    </a:xfrm>
                    <a:prstGeom prst="rect">
                      <a:avLst/>
                    </a:prstGeom>
                    <a:noFill/>
                    <a:ln>
                      <a:noFill/>
                    </a:ln>
                  </pic:spPr>
                </pic:pic>
              </a:graphicData>
            </a:graphic>
          </wp:inline>
        </w:drawing>
      </w:r>
    </w:p>
    <w:p w14:paraId="416F5698" w14:textId="77777777" w:rsidR="006B7681" w:rsidRDefault="006B7681" w:rsidP="004B4584">
      <w:pPr>
        <w:spacing w:before="80"/>
        <w:ind w:left="9356" w:right="114" w:hanging="8789"/>
        <w:jc w:val="center"/>
        <w:rPr>
          <w:b/>
          <w:noProof/>
          <w:sz w:val="28"/>
          <w:lang w:val="it-IT" w:eastAsia="it-IT"/>
        </w:rPr>
      </w:pPr>
    </w:p>
    <w:p w14:paraId="6759CC79" w14:textId="77777777" w:rsidR="006B7681" w:rsidRDefault="006B7681" w:rsidP="004B4584">
      <w:pPr>
        <w:spacing w:before="80"/>
        <w:ind w:left="9356" w:right="114" w:hanging="8789"/>
        <w:jc w:val="center"/>
        <w:rPr>
          <w:b/>
          <w:noProof/>
          <w:sz w:val="28"/>
          <w:lang w:val="it-IT" w:eastAsia="it-IT"/>
        </w:rPr>
      </w:pPr>
    </w:p>
    <w:p w14:paraId="7B063431" w14:textId="77777777" w:rsidR="006B7681" w:rsidRDefault="006B7681" w:rsidP="004B4584">
      <w:pPr>
        <w:spacing w:before="80"/>
        <w:ind w:left="9356" w:right="114" w:hanging="8789"/>
        <w:jc w:val="center"/>
        <w:rPr>
          <w:b/>
          <w:noProof/>
          <w:sz w:val="28"/>
          <w:lang w:val="it-IT" w:eastAsia="it-IT"/>
        </w:rPr>
      </w:pPr>
    </w:p>
    <w:p w14:paraId="380D2DC4" w14:textId="77777777" w:rsidR="006B7681" w:rsidRDefault="006B7681" w:rsidP="004B4584">
      <w:pPr>
        <w:spacing w:before="80"/>
        <w:ind w:left="9356" w:right="114" w:hanging="8789"/>
        <w:jc w:val="center"/>
        <w:rPr>
          <w:b/>
          <w:noProof/>
          <w:sz w:val="28"/>
          <w:lang w:val="it-IT" w:eastAsia="it-IT"/>
        </w:rPr>
      </w:pPr>
    </w:p>
    <w:p w14:paraId="6CA19CAE" w14:textId="77777777" w:rsidR="006B7681" w:rsidRDefault="006B7681" w:rsidP="004B4584">
      <w:pPr>
        <w:spacing w:before="80"/>
        <w:ind w:left="9356" w:right="114" w:hanging="8789"/>
        <w:jc w:val="center"/>
        <w:rPr>
          <w:b/>
          <w:noProof/>
          <w:sz w:val="28"/>
          <w:lang w:val="it-IT" w:eastAsia="it-IT"/>
        </w:rPr>
      </w:pPr>
    </w:p>
    <w:p w14:paraId="0F04AF4F" w14:textId="77777777" w:rsidR="006242C0" w:rsidRDefault="006B7681" w:rsidP="006B7681">
      <w:pPr>
        <w:ind w:left="567" w:right="113"/>
        <w:jc w:val="center"/>
        <w:rPr>
          <w:rFonts w:ascii="Verdana" w:hAnsi="Verdana"/>
          <w:b/>
          <w:noProof/>
          <w:sz w:val="40"/>
          <w:szCs w:val="40"/>
          <w:lang w:val="it-IT" w:eastAsia="it-IT"/>
        </w:rPr>
      </w:pPr>
      <w:r w:rsidRPr="006B7681">
        <w:rPr>
          <w:rFonts w:ascii="Verdana" w:hAnsi="Verdana"/>
          <w:b/>
          <w:noProof/>
          <w:sz w:val="40"/>
          <w:szCs w:val="40"/>
          <w:lang w:val="it-IT" w:eastAsia="it-IT"/>
        </w:rPr>
        <w:t xml:space="preserve">BILANCIO CONSOLIDATO </w:t>
      </w:r>
    </w:p>
    <w:p w14:paraId="41C612FC" w14:textId="76E8BE76" w:rsidR="006242C0" w:rsidRDefault="006B7681" w:rsidP="00E178CD">
      <w:pPr>
        <w:ind w:left="567" w:right="113"/>
        <w:jc w:val="center"/>
        <w:rPr>
          <w:rFonts w:ascii="Verdana" w:hAnsi="Verdana"/>
          <w:b/>
          <w:noProof/>
          <w:sz w:val="40"/>
          <w:szCs w:val="40"/>
          <w:lang w:val="it-IT" w:eastAsia="it-IT"/>
        </w:rPr>
      </w:pPr>
      <w:r w:rsidRPr="006B7681">
        <w:rPr>
          <w:rFonts w:ascii="Verdana" w:hAnsi="Verdana"/>
          <w:b/>
          <w:noProof/>
          <w:sz w:val="40"/>
          <w:szCs w:val="40"/>
          <w:lang w:val="it-IT" w:eastAsia="it-IT"/>
        </w:rPr>
        <w:t xml:space="preserve">DELL’ESERCIZIO </w:t>
      </w:r>
      <w:r w:rsidR="00CC079F">
        <w:rPr>
          <w:rFonts w:ascii="Verdana" w:hAnsi="Verdana"/>
          <w:b/>
          <w:noProof/>
          <w:sz w:val="40"/>
          <w:szCs w:val="40"/>
          <w:lang w:val="it-IT" w:eastAsia="it-IT"/>
        </w:rPr>
        <w:t>202</w:t>
      </w:r>
      <w:r w:rsidR="00532883">
        <w:rPr>
          <w:rFonts w:ascii="Verdana" w:hAnsi="Verdana"/>
          <w:b/>
          <w:noProof/>
          <w:sz w:val="40"/>
          <w:szCs w:val="40"/>
          <w:lang w:val="it-IT" w:eastAsia="it-IT"/>
        </w:rPr>
        <w:t>4</w:t>
      </w:r>
      <w:r w:rsidRPr="006B7681">
        <w:rPr>
          <w:rFonts w:ascii="Verdana" w:hAnsi="Verdana"/>
          <w:b/>
          <w:noProof/>
          <w:sz w:val="40"/>
          <w:szCs w:val="40"/>
          <w:lang w:val="it-IT" w:eastAsia="it-IT"/>
        </w:rPr>
        <w:t xml:space="preserve"> </w:t>
      </w:r>
    </w:p>
    <w:p w14:paraId="66D32A9B" w14:textId="77777777" w:rsidR="006B7681" w:rsidRPr="006B7681" w:rsidRDefault="006B7681" w:rsidP="006B7681">
      <w:pPr>
        <w:ind w:left="567" w:right="113"/>
        <w:jc w:val="center"/>
        <w:rPr>
          <w:rFonts w:ascii="Verdana" w:hAnsi="Verdana"/>
          <w:b/>
          <w:noProof/>
          <w:sz w:val="40"/>
          <w:szCs w:val="40"/>
          <w:lang w:val="it-IT" w:eastAsia="it-IT"/>
        </w:rPr>
      </w:pPr>
      <w:r w:rsidRPr="006B7681">
        <w:rPr>
          <w:rFonts w:ascii="Verdana" w:hAnsi="Verdana"/>
          <w:b/>
          <w:noProof/>
          <w:sz w:val="40"/>
          <w:szCs w:val="40"/>
          <w:lang w:val="it-IT" w:eastAsia="it-IT"/>
        </w:rPr>
        <w:t>E NOTA INTEGRATIVA</w:t>
      </w:r>
    </w:p>
    <w:p w14:paraId="4E166D13" w14:textId="77777777" w:rsidR="006B7681" w:rsidRDefault="006B7681">
      <w:pPr>
        <w:widowControl/>
        <w:autoSpaceDE/>
        <w:autoSpaceDN/>
        <w:spacing w:after="200" w:line="276" w:lineRule="auto"/>
        <w:rPr>
          <w:b/>
          <w:noProof/>
          <w:sz w:val="28"/>
          <w:lang w:val="it-IT" w:eastAsia="it-IT"/>
        </w:rPr>
      </w:pPr>
      <w:r>
        <w:rPr>
          <w:b/>
          <w:noProof/>
          <w:sz w:val="28"/>
          <w:lang w:val="it-IT" w:eastAsia="it-IT"/>
        </w:rPr>
        <w:br w:type="page"/>
      </w:r>
    </w:p>
    <w:p w14:paraId="1B3FA0A0" w14:textId="087F9D79" w:rsidR="004B4584" w:rsidRPr="00D906DE" w:rsidRDefault="004B4584" w:rsidP="00D906DE">
      <w:pPr>
        <w:spacing w:before="80"/>
        <w:ind w:left="9356" w:right="114" w:hanging="8789"/>
        <w:jc w:val="center"/>
        <w:rPr>
          <w:rFonts w:ascii="Verdana" w:hAnsi="Verdana"/>
          <w:b/>
          <w:noProof/>
          <w:sz w:val="28"/>
          <w:lang w:val="it-IT" w:eastAsia="it-IT"/>
        </w:rPr>
      </w:pPr>
      <w:r w:rsidRPr="006B7681">
        <w:rPr>
          <w:rFonts w:ascii="Verdana" w:hAnsi="Verdana"/>
          <w:b/>
          <w:noProof/>
          <w:sz w:val="28"/>
          <w:lang w:val="it-IT" w:eastAsia="it-IT"/>
        </w:rPr>
        <w:lastRenderedPageBreak/>
        <w:t xml:space="preserve">Bilancio consolidato di esercizio </w:t>
      </w:r>
      <w:r w:rsidR="00CC079F">
        <w:rPr>
          <w:rFonts w:ascii="Verdana" w:hAnsi="Verdana"/>
          <w:b/>
          <w:noProof/>
          <w:sz w:val="28"/>
          <w:lang w:val="it-IT" w:eastAsia="it-IT"/>
        </w:rPr>
        <w:t>202</w:t>
      </w:r>
      <w:r w:rsidR="00532883">
        <w:rPr>
          <w:rFonts w:ascii="Verdana" w:hAnsi="Verdana"/>
          <w:b/>
          <w:noProof/>
          <w:sz w:val="28"/>
          <w:lang w:val="it-IT" w:eastAsia="it-IT"/>
        </w:rPr>
        <w:t>4</w:t>
      </w:r>
    </w:p>
    <w:p w14:paraId="24612560" w14:textId="7C034344" w:rsidR="00D906DE" w:rsidRDefault="00D906DE" w:rsidP="004E0ADF">
      <w:pPr>
        <w:rPr>
          <w:color w:val="FF0000"/>
        </w:rPr>
      </w:pPr>
      <w:r w:rsidRPr="00D906DE">
        <w:drawing>
          <wp:inline distT="0" distB="0" distL="0" distR="0" wp14:anchorId="40C179C8" wp14:editId="413333A3">
            <wp:extent cx="6553200" cy="6052185"/>
            <wp:effectExtent l="0" t="0" r="0"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0" cy="6052185"/>
                    </a:xfrm>
                    <a:prstGeom prst="rect">
                      <a:avLst/>
                    </a:prstGeom>
                    <a:noFill/>
                    <a:ln>
                      <a:noFill/>
                    </a:ln>
                  </pic:spPr>
                </pic:pic>
              </a:graphicData>
            </a:graphic>
          </wp:inline>
        </w:drawing>
      </w:r>
    </w:p>
    <w:p w14:paraId="19485886" w14:textId="0778D30B" w:rsidR="00A04DA3" w:rsidRDefault="00A04DA3" w:rsidP="004E0ADF">
      <w:pPr>
        <w:rPr>
          <w:color w:val="FF0000"/>
        </w:rPr>
      </w:pPr>
    </w:p>
    <w:p w14:paraId="4145069E" w14:textId="6286029E" w:rsidR="00A04DA3" w:rsidRDefault="00A04DA3" w:rsidP="004E0ADF">
      <w:pPr>
        <w:rPr>
          <w:color w:val="FF0000"/>
        </w:rPr>
      </w:pPr>
      <w:r w:rsidRPr="00A04DA3">
        <w:rPr>
          <w:noProof/>
        </w:rPr>
        <w:lastRenderedPageBreak/>
        <w:drawing>
          <wp:inline distT="0" distB="0" distL="0" distR="0" wp14:anchorId="5271E6BE" wp14:editId="2A2C8EC2">
            <wp:extent cx="6553200" cy="381190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3200" cy="3811905"/>
                    </a:xfrm>
                    <a:prstGeom prst="rect">
                      <a:avLst/>
                    </a:prstGeom>
                    <a:noFill/>
                    <a:ln>
                      <a:noFill/>
                    </a:ln>
                  </pic:spPr>
                </pic:pic>
              </a:graphicData>
            </a:graphic>
          </wp:inline>
        </w:drawing>
      </w:r>
    </w:p>
    <w:p w14:paraId="4D63574C" w14:textId="0A6D64F3" w:rsidR="004E0ADF" w:rsidRPr="003D5010" w:rsidRDefault="004E0ADF" w:rsidP="00D841F4">
      <w:pPr>
        <w:jc w:val="center"/>
        <w:rPr>
          <w:color w:val="FF0000"/>
        </w:rPr>
        <w:sectPr w:rsidR="004E0ADF" w:rsidRPr="003D5010">
          <w:headerReference w:type="default" r:id="rId11"/>
          <w:pgSz w:w="11900" w:h="16840"/>
          <w:pgMar w:top="1340" w:right="860" w:bottom="280" w:left="720" w:header="0" w:footer="0" w:gutter="0"/>
          <w:cols w:space="720"/>
        </w:sectPr>
      </w:pPr>
    </w:p>
    <w:p w14:paraId="7718D500" w14:textId="77777777" w:rsidR="004B4584" w:rsidRDefault="004B4584" w:rsidP="004B4584">
      <w:pPr>
        <w:spacing w:before="32"/>
        <w:ind w:left="567"/>
        <w:jc w:val="center"/>
        <w:rPr>
          <w:rFonts w:ascii="Calibri"/>
          <w:b/>
          <w:color w:val="FF0000"/>
          <w:sz w:val="23"/>
        </w:rPr>
      </w:pPr>
    </w:p>
    <w:p w14:paraId="0EB04B67" w14:textId="77777777" w:rsidR="004B4584" w:rsidRPr="003D5010" w:rsidRDefault="004B4584" w:rsidP="004B4584">
      <w:pPr>
        <w:pStyle w:val="Corpotesto"/>
        <w:ind w:left="567"/>
        <w:jc w:val="center"/>
        <w:rPr>
          <w:rFonts w:ascii="Calibri"/>
          <w:b/>
          <w:color w:val="FF0000"/>
          <w:sz w:val="20"/>
        </w:rPr>
      </w:pPr>
    </w:p>
    <w:p w14:paraId="1C495F33" w14:textId="77777777" w:rsidR="004B4584" w:rsidRPr="003D5010" w:rsidRDefault="004B4584" w:rsidP="004B4584">
      <w:pPr>
        <w:pStyle w:val="Corpotesto"/>
        <w:rPr>
          <w:rFonts w:ascii="Calibri"/>
          <w:b/>
          <w:color w:val="FF0000"/>
          <w:sz w:val="20"/>
        </w:rPr>
      </w:pPr>
    </w:p>
    <w:p w14:paraId="45D5E485" w14:textId="77777777" w:rsidR="004B4584" w:rsidRPr="003D5010" w:rsidRDefault="004B4584" w:rsidP="004B4584">
      <w:pPr>
        <w:pStyle w:val="Corpotesto"/>
        <w:rPr>
          <w:rFonts w:ascii="Calibri"/>
          <w:b/>
          <w:color w:val="FF0000"/>
          <w:sz w:val="20"/>
        </w:rPr>
      </w:pPr>
    </w:p>
    <w:p w14:paraId="39AC969D" w14:textId="77777777" w:rsidR="004B4584" w:rsidRPr="003D5010" w:rsidRDefault="004B4584" w:rsidP="004B4584">
      <w:pPr>
        <w:pStyle w:val="Corpotesto"/>
        <w:rPr>
          <w:rFonts w:ascii="Calibri"/>
          <w:b/>
          <w:color w:val="FF0000"/>
          <w:sz w:val="20"/>
        </w:rPr>
      </w:pPr>
    </w:p>
    <w:p w14:paraId="2D1AC5C6" w14:textId="77777777" w:rsidR="004B4584" w:rsidRPr="003D5010" w:rsidRDefault="004B4584" w:rsidP="004B4584">
      <w:pPr>
        <w:pStyle w:val="Corpotesto"/>
        <w:rPr>
          <w:rFonts w:ascii="Calibri"/>
          <w:b/>
          <w:color w:val="FF0000"/>
          <w:sz w:val="20"/>
        </w:rPr>
      </w:pPr>
    </w:p>
    <w:p w14:paraId="7722145E" w14:textId="77777777" w:rsidR="004B4584" w:rsidRPr="003D5010" w:rsidRDefault="004B4584" w:rsidP="004B4584">
      <w:pPr>
        <w:pStyle w:val="Corpotesto"/>
        <w:rPr>
          <w:rFonts w:ascii="Calibri"/>
          <w:b/>
          <w:color w:val="FF0000"/>
          <w:sz w:val="20"/>
        </w:rPr>
      </w:pPr>
    </w:p>
    <w:p w14:paraId="71745960" w14:textId="77777777" w:rsidR="004B4584" w:rsidRPr="003D5010" w:rsidRDefault="004B4584" w:rsidP="004B4584">
      <w:pPr>
        <w:pStyle w:val="Corpotesto"/>
        <w:rPr>
          <w:rFonts w:ascii="Calibri"/>
          <w:b/>
          <w:color w:val="FF0000"/>
          <w:sz w:val="20"/>
        </w:rPr>
      </w:pPr>
    </w:p>
    <w:p w14:paraId="1795A233" w14:textId="77777777" w:rsidR="004B4584" w:rsidRPr="003D5010" w:rsidRDefault="004B4584" w:rsidP="004B4584">
      <w:pPr>
        <w:pStyle w:val="Corpotesto"/>
        <w:rPr>
          <w:rFonts w:ascii="Calibri"/>
          <w:b/>
          <w:color w:val="FF0000"/>
          <w:sz w:val="20"/>
        </w:rPr>
      </w:pPr>
    </w:p>
    <w:p w14:paraId="627C4EC6" w14:textId="77777777" w:rsidR="004B4584" w:rsidRPr="003D5010" w:rsidRDefault="004B4584" w:rsidP="004B4584">
      <w:pPr>
        <w:pStyle w:val="Corpotesto"/>
        <w:rPr>
          <w:rFonts w:ascii="Calibri"/>
          <w:b/>
          <w:color w:val="FF0000"/>
          <w:sz w:val="20"/>
        </w:rPr>
      </w:pPr>
    </w:p>
    <w:p w14:paraId="55E6F05F" w14:textId="77777777" w:rsidR="004B4584" w:rsidRPr="003D5010" w:rsidRDefault="004B4584" w:rsidP="004B4584">
      <w:pPr>
        <w:pStyle w:val="Corpotesto"/>
        <w:rPr>
          <w:rFonts w:ascii="Calibri"/>
          <w:b/>
          <w:color w:val="FF0000"/>
          <w:sz w:val="20"/>
        </w:rPr>
      </w:pPr>
    </w:p>
    <w:p w14:paraId="17A062AD" w14:textId="77777777" w:rsidR="004B4584" w:rsidRPr="003D5010" w:rsidRDefault="004B4584" w:rsidP="004B4584">
      <w:pPr>
        <w:pStyle w:val="Corpotesto"/>
        <w:rPr>
          <w:rFonts w:ascii="Calibri"/>
          <w:b/>
          <w:color w:val="FF0000"/>
          <w:sz w:val="20"/>
        </w:rPr>
      </w:pPr>
    </w:p>
    <w:p w14:paraId="7EF64B7A" w14:textId="77777777" w:rsidR="004B4584" w:rsidRPr="003D5010" w:rsidRDefault="004B4584" w:rsidP="004B4584">
      <w:pPr>
        <w:pStyle w:val="Corpotesto"/>
        <w:spacing w:before="7"/>
        <w:rPr>
          <w:rFonts w:ascii="Calibri"/>
          <w:b/>
          <w:color w:val="FF0000"/>
        </w:rPr>
      </w:pPr>
    </w:p>
    <w:p w14:paraId="49BA9635" w14:textId="77777777" w:rsidR="006242C0" w:rsidRDefault="004B4584" w:rsidP="00384306">
      <w:pPr>
        <w:spacing w:before="100" w:line="252" w:lineRule="auto"/>
        <w:jc w:val="center"/>
        <w:rPr>
          <w:b/>
          <w:spacing w:val="17"/>
          <w:sz w:val="56"/>
          <w:lang w:val="it-IT"/>
        </w:rPr>
      </w:pPr>
      <w:r w:rsidRPr="008746FF">
        <w:rPr>
          <w:b/>
          <w:spacing w:val="13"/>
          <w:sz w:val="56"/>
          <w:lang w:val="it-IT"/>
        </w:rPr>
        <w:t xml:space="preserve">NOTA </w:t>
      </w:r>
      <w:r w:rsidRPr="008746FF">
        <w:rPr>
          <w:b/>
          <w:spacing w:val="17"/>
          <w:sz w:val="56"/>
          <w:lang w:val="it-IT"/>
        </w:rPr>
        <w:t xml:space="preserve">INTEGRATIVA </w:t>
      </w:r>
    </w:p>
    <w:p w14:paraId="16215815" w14:textId="398EE748" w:rsidR="004B4584" w:rsidRDefault="004B4584" w:rsidP="00384306">
      <w:pPr>
        <w:spacing w:before="100" w:line="252" w:lineRule="auto"/>
        <w:jc w:val="center"/>
        <w:rPr>
          <w:b/>
          <w:spacing w:val="14"/>
          <w:sz w:val="56"/>
          <w:lang w:val="it-IT"/>
        </w:rPr>
      </w:pPr>
      <w:r w:rsidRPr="008746FF">
        <w:rPr>
          <w:b/>
          <w:spacing w:val="10"/>
          <w:sz w:val="56"/>
          <w:lang w:val="it-IT"/>
        </w:rPr>
        <w:t xml:space="preserve">AL </w:t>
      </w:r>
      <w:r w:rsidRPr="008746FF">
        <w:rPr>
          <w:b/>
          <w:spacing w:val="17"/>
          <w:sz w:val="56"/>
          <w:lang w:val="it-IT"/>
        </w:rPr>
        <w:t xml:space="preserve">BILANCIO CONSOLIDATO </w:t>
      </w:r>
      <w:r w:rsidR="006B7681">
        <w:rPr>
          <w:b/>
          <w:spacing w:val="17"/>
          <w:sz w:val="56"/>
          <w:lang w:val="it-IT"/>
        </w:rPr>
        <w:t>D’</w:t>
      </w:r>
      <w:r w:rsidRPr="008746FF">
        <w:rPr>
          <w:b/>
          <w:spacing w:val="17"/>
          <w:sz w:val="56"/>
          <w:lang w:val="it-IT"/>
        </w:rPr>
        <w:t>ESERCIZIO</w:t>
      </w:r>
      <w:r w:rsidRPr="008746FF">
        <w:rPr>
          <w:b/>
          <w:spacing w:val="72"/>
          <w:sz w:val="56"/>
          <w:lang w:val="it-IT"/>
        </w:rPr>
        <w:t xml:space="preserve"> </w:t>
      </w:r>
      <w:r w:rsidR="00CC079F">
        <w:rPr>
          <w:b/>
          <w:spacing w:val="14"/>
          <w:sz w:val="56"/>
          <w:lang w:val="it-IT"/>
        </w:rPr>
        <w:t>202</w:t>
      </w:r>
      <w:r w:rsidR="00532883">
        <w:rPr>
          <w:b/>
          <w:spacing w:val="14"/>
          <w:sz w:val="56"/>
          <w:lang w:val="it-IT"/>
        </w:rPr>
        <w:t>4</w:t>
      </w:r>
    </w:p>
    <w:p w14:paraId="183CD587" w14:textId="77777777" w:rsidR="00487D0D" w:rsidRPr="008746FF" w:rsidRDefault="00487D0D" w:rsidP="00384306">
      <w:pPr>
        <w:spacing w:before="100" w:line="252" w:lineRule="auto"/>
        <w:jc w:val="center"/>
        <w:rPr>
          <w:b/>
          <w:sz w:val="56"/>
          <w:lang w:val="it-IT"/>
        </w:rPr>
      </w:pPr>
    </w:p>
    <w:p w14:paraId="70D862D9" w14:textId="77777777" w:rsidR="004B4584" w:rsidRPr="008746FF" w:rsidRDefault="004B4584" w:rsidP="004B4584">
      <w:pPr>
        <w:spacing w:line="252" w:lineRule="auto"/>
        <w:rPr>
          <w:color w:val="FF0000"/>
          <w:sz w:val="56"/>
          <w:lang w:val="it-IT"/>
        </w:rPr>
        <w:sectPr w:rsidR="004B4584" w:rsidRPr="008746FF">
          <w:headerReference w:type="default" r:id="rId12"/>
          <w:footerReference w:type="default" r:id="rId13"/>
          <w:pgSz w:w="11900" w:h="16840"/>
          <w:pgMar w:top="1600" w:right="860" w:bottom="940" w:left="720" w:header="0" w:footer="746" w:gutter="0"/>
          <w:pgNumType w:start="3"/>
          <w:cols w:space="720"/>
        </w:sectPr>
      </w:pPr>
    </w:p>
    <w:p w14:paraId="3855119F" w14:textId="77777777" w:rsidR="004B4584" w:rsidRPr="008746FF" w:rsidRDefault="008746FF" w:rsidP="004B4584">
      <w:pPr>
        <w:pStyle w:val="Titolo4"/>
        <w:spacing w:before="82"/>
        <w:ind w:left="567"/>
        <w:jc w:val="center"/>
        <w:rPr>
          <w:rFonts w:ascii="Verdana" w:hAnsi="Verdana"/>
          <w:b/>
          <w:lang w:val="it-IT"/>
        </w:rPr>
      </w:pPr>
      <w:r>
        <w:rPr>
          <w:rFonts w:ascii="Verdana" w:hAnsi="Verdana"/>
          <w:b/>
          <w:noProof/>
          <w:lang w:val="it-IT" w:eastAsia="it-IT"/>
        </w:rPr>
        <w:lastRenderedPageBreak/>
        <mc:AlternateContent>
          <mc:Choice Requires="wps">
            <w:drawing>
              <wp:anchor distT="4294967295" distB="4294967295" distL="0" distR="0" simplePos="0" relativeHeight="251667456" behindDoc="1" locked="0" layoutInCell="1" allowOverlap="1" wp14:anchorId="44D69867" wp14:editId="77A17FE8">
                <wp:simplePos x="0" y="0"/>
                <wp:positionH relativeFrom="page">
                  <wp:posOffset>773430</wp:posOffset>
                </wp:positionH>
                <wp:positionV relativeFrom="paragraph">
                  <wp:posOffset>288289</wp:posOffset>
                </wp:positionV>
                <wp:extent cx="6172835" cy="0"/>
                <wp:effectExtent l="0" t="0" r="37465" b="19050"/>
                <wp:wrapTopAndBottom/>
                <wp:docPr id="147"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6">
                          <a:solidFill>
                            <a:srgbClr val="5D2A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F0577" id="Line 116" o:spid="_x0000_s1026" style="position:absolute;z-index:-2516490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2.7pt" to="546.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" strokecolor="#5d2a24" strokeweight=".48pt">
                <w10:wrap type="topAndBottom" anchorx="page"/>
              </v:line>
            </w:pict>
          </mc:Fallback>
        </mc:AlternateContent>
      </w:r>
      <w:r w:rsidR="004B4584" w:rsidRPr="008746FF">
        <w:rPr>
          <w:rFonts w:ascii="Verdana" w:hAnsi="Verdana"/>
          <w:b/>
          <w:lang w:val="it-IT"/>
        </w:rPr>
        <w:t>QUADRO NORMATIVO E AREA DI CONSOLIDAMENTO</w:t>
      </w:r>
    </w:p>
    <w:p w14:paraId="3291E518" w14:textId="77777777" w:rsidR="004B4584" w:rsidRPr="008746FF" w:rsidRDefault="004B4584" w:rsidP="004B4584">
      <w:pPr>
        <w:pStyle w:val="Corpotesto"/>
        <w:spacing w:before="167" w:line="360" w:lineRule="auto"/>
        <w:ind w:left="527" w:right="125"/>
        <w:jc w:val="both"/>
        <w:rPr>
          <w:rFonts w:ascii="Verdana" w:hAnsi="Verdana"/>
          <w:lang w:val="it-IT"/>
        </w:rPr>
      </w:pPr>
      <w:r w:rsidRPr="008746FF">
        <w:rPr>
          <w:rFonts w:ascii="Verdana" w:hAnsi="Verdana"/>
          <w:lang w:val="it-IT"/>
        </w:rPr>
        <w:t xml:space="preserve">Il Bilancio Consolidato di Ateneo è stato redatto in conformità a quanto previsto dal Decreto Interministeriale </w:t>
      </w:r>
      <w:r w:rsidRPr="008746FF">
        <w:rPr>
          <w:rFonts w:ascii="Verdana" w:hAnsi="Verdana"/>
          <w:spacing w:val="3"/>
          <w:lang w:val="it-IT"/>
        </w:rPr>
        <w:t xml:space="preserve">dell’11 </w:t>
      </w:r>
      <w:r w:rsidRPr="008746FF">
        <w:rPr>
          <w:rFonts w:ascii="Verdana" w:hAnsi="Verdana"/>
          <w:lang w:val="it-IT"/>
        </w:rPr>
        <w:t>aprile 2016 n. 248 – “</w:t>
      </w:r>
      <w:r w:rsidRPr="008746FF">
        <w:rPr>
          <w:rFonts w:ascii="Verdana" w:hAnsi="Verdana"/>
          <w:i/>
          <w:lang w:val="it-IT"/>
        </w:rPr>
        <w:t>Schemi di bilancio consolidato delle Università”</w:t>
      </w:r>
      <w:r w:rsidRPr="008746FF">
        <w:rPr>
          <w:rFonts w:ascii="Verdana" w:hAnsi="Verdana"/>
          <w:lang w:val="it-IT"/>
        </w:rPr>
        <w:t>, con il quale sono stati approvati gli schemi di Stato Patrimoniale e di Conto Economico, e sono stati individuati i principi generali di consolidamento da utilizzare per la redazione del Bilancio Consolidato delle Università.</w:t>
      </w:r>
    </w:p>
    <w:p w14:paraId="220E8584" w14:textId="77777777" w:rsidR="004B4584" w:rsidRPr="008746FF" w:rsidRDefault="004B4584" w:rsidP="004B4584">
      <w:pPr>
        <w:pStyle w:val="Corpotesto"/>
        <w:spacing w:before="167" w:line="360" w:lineRule="auto"/>
        <w:ind w:left="527" w:right="125"/>
        <w:jc w:val="both"/>
        <w:rPr>
          <w:rFonts w:ascii="Verdana" w:hAnsi="Verdana"/>
          <w:lang w:val="it-IT"/>
        </w:rPr>
      </w:pPr>
      <w:r w:rsidRPr="008746FF">
        <w:rPr>
          <w:rFonts w:ascii="Verdana" w:hAnsi="Verdana"/>
          <w:lang w:val="it-IT"/>
        </w:rPr>
        <w:t>L’articolo 1 lettera c) del Decreto 248</w:t>
      </w:r>
      <w:r w:rsidR="00D33795">
        <w:rPr>
          <w:rFonts w:ascii="Verdana" w:hAnsi="Verdana"/>
          <w:lang w:val="it-IT"/>
        </w:rPr>
        <w:t>/2016</w:t>
      </w:r>
      <w:r w:rsidRPr="008746FF">
        <w:rPr>
          <w:rFonts w:ascii="Verdana" w:hAnsi="Verdana"/>
          <w:lang w:val="it-IT"/>
        </w:rPr>
        <w:t xml:space="preserve"> in tema di “Area di Consolidamento” prevede che, ai sensi dell'articolo 6, comma 2, del Decreto Legislativo n. 18/2012, rientrino nell'Area di Consolidamento del Gruppo "Università" i seguenti soggetti giuridici, anche se non definiti amministrazioni pubbliche ai sensi dell'articolo 1, comma 2, della legge 31 dicembre 2009, n. 196:</w:t>
      </w:r>
    </w:p>
    <w:p w14:paraId="2224CA7C" w14:textId="77777777" w:rsidR="004B4584" w:rsidRPr="008746FF" w:rsidRDefault="004B4584" w:rsidP="004B4584">
      <w:pPr>
        <w:pStyle w:val="Corpotesto"/>
        <w:numPr>
          <w:ilvl w:val="0"/>
          <w:numId w:val="1"/>
        </w:numPr>
        <w:spacing w:before="167" w:line="360" w:lineRule="auto"/>
        <w:ind w:right="125"/>
        <w:jc w:val="both"/>
        <w:rPr>
          <w:rFonts w:ascii="Verdana" w:hAnsi="Verdana"/>
          <w:lang w:val="it-IT"/>
        </w:rPr>
      </w:pPr>
      <w:r w:rsidRPr="008746FF">
        <w:rPr>
          <w:rFonts w:ascii="Verdana" w:hAnsi="Verdana"/>
          <w:lang w:val="it-IT"/>
        </w:rPr>
        <w:t>fondazioni universitarie istituite ai sensi dell’articolo 59, comma 3, della Legge 23 dicembre 2000, n. 388, e successive modificazioni;</w:t>
      </w:r>
    </w:p>
    <w:p w14:paraId="7878ACFE" w14:textId="77777777" w:rsidR="004B4584" w:rsidRPr="008746FF" w:rsidRDefault="004B4584" w:rsidP="004B4584">
      <w:pPr>
        <w:pStyle w:val="Corpotesto"/>
        <w:numPr>
          <w:ilvl w:val="0"/>
          <w:numId w:val="1"/>
        </w:numPr>
        <w:spacing w:before="167" w:line="360" w:lineRule="auto"/>
        <w:ind w:right="125"/>
        <w:jc w:val="both"/>
        <w:rPr>
          <w:rFonts w:ascii="Verdana" w:hAnsi="Verdana"/>
          <w:lang w:val="it-IT"/>
        </w:rPr>
      </w:pPr>
      <w:r w:rsidRPr="008746FF">
        <w:rPr>
          <w:rFonts w:ascii="Verdana" w:hAnsi="Verdana"/>
          <w:lang w:val="it-IT"/>
        </w:rPr>
        <w:t>società di capitali controllate dalle università, ai sensi del codice civile;</w:t>
      </w:r>
    </w:p>
    <w:p w14:paraId="48918415" w14:textId="77777777" w:rsidR="004B4584" w:rsidRPr="008746FF" w:rsidRDefault="004B4584" w:rsidP="004B4584">
      <w:pPr>
        <w:pStyle w:val="Corpotesto"/>
        <w:numPr>
          <w:ilvl w:val="0"/>
          <w:numId w:val="1"/>
        </w:numPr>
        <w:spacing w:before="167" w:line="360" w:lineRule="auto"/>
        <w:ind w:right="125"/>
        <w:jc w:val="both"/>
        <w:rPr>
          <w:rFonts w:ascii="Verdana" w:hAnsi="Verdana"/>
          <w:lang w:val="it-IT"/>
        </w:rPr>
      </w:pPr>
      <w:r w:rsidRPr="008746FF">
        <w:rPr>
          <w:rFonts w:ascii="Verdana" w:hAnsi="Verdana"/>
          <w:lang w:val="it-IT"/>
        </w:rPr>
        <w:t>altri enti nei quali le università hanno il potere di esercitare la maggioranza dei voti nell’assemblea dei soci;</w:t>
      </w:r>
    </w:p>
    <w:p w14:paraId="1185048E" w14:textId="77777777" w:rsidR="004B4584" w:rsidRPr="008746FF" w:rsidRDefault="004B4584" w:rsidP="004B4584">
      <w:pPr>
        <w:pStyle w:val="Corpotesto"/>
        <w:numPr>
          <w:ilvl w:val="0"/>
          <w:numId w:val="1"/>
        </w:numPr>
        <w:spacing w:before="167" w:line="360" w:lineRule="auto"/>
        <w:ind w:right="125"/>
        <w:jc w:val="both"/>
        <w:rPr>
          <w:rFonts w:ascii="Verdana" w:hAnsi="Verdana"/>
          <w:lang w:val="it-IT"/>
        </w:rPr>
      </w:pPr>
      <w:r w:rsidRPr="008746FF">
        <w:rPr>
          <w:rFonts w:ascii="Verdana" w:hAnsi="Verdana"/>
          <w:lang w:val="it-IT"/>
        </w:rPr>
        <w:t>altri enti nei quali le università possono nominare la maggioranza dei componenti degli organi di amministrazione.</w:t>
      </w:r>
    </w:p>
    <w:p w14:paraId="370C76C8"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Sulla base dei criteri definiti dal Decreto 248</w:t>
      </w:r>
      <w:r w:rsidR="00D33795">
        <w:rPr>
          <w:rFonts w:ascii="Verdana" w:hAnsi="Verdana"/>
          <w:lang w:val="it-IT"/>
        </w:rPr>
        <w:t>/2016</w:t>
      </w:r>
      <w:r w:rsidRPr="006B7681">
        <w:rPr>
          <w:rFonts w:ascii="Verdana" w:hAnsi="Verdana"/>
          <w:lang w:val="it-IT"/>
        </w:rPr>
        <w:t xml:space="preserve">, </w:t>
      </w:r>
      <w:r w:rsidR="00D33795">
        <w:rPr>
          <w:rFonts w:ascii="Verdana" w:hAnsi="Verdana"/>
          <w:lang w:val="it-IT"/>
        </w:rPr>
        <w:t xml:space="preserve">l’Università, con delibera del </w:t>
      </w:r>
      <w:r w:rsidR="00F12545">
        <w:rPr>
          <w:rFonts w:ascii="Verdana" w:hAnsi="Verdana"/>
          <w:lang w:val="it-IT"/>
        </w:rPr>
        <w:t xml:space="preserve">Consiglio di Amministrazione del </w:t>
      </w:r>
      <w:r w:rsidR="0004452E">
        <w:rPr>
          <w:rFonts w:ascii="Verdana" w:hAnsi="Verdana"/>
          <w:lang w:val="it-IT"/>
        </w:rPr>
        <w:t xml:space="preserve">23 luglio </w:t>
      </w:r>
      <w:r w:rsidR="0004452E" w:rsidRPr="00C711B3">
        <w:rPr>
          <w:rFonts w:ascii="Verdana" w:hAnsi="Verdana"/>
          <w:lang w:val="it-IT"/>
        </w:rPr>
        <w:t>2019</w:t>
      </w:r>
      <w:r w:rsidR="00F12545">
        <w:rPr>
          <w:rFonts w:ascii="Verdana" w:hAnsi="Verdana"/>
          <w:lang w:val="it-IT"/>
        </w:rPr>
        <w:t>, ha definito la sua area di consolidamento che</w:t>
      </w:r>
      <w:r w:rsidRPr="006B7681">
        <w:rPr>
          <w:rFonts w:ascii="Verdana" w:hAnsi="Verdana"/>
          <w:lang w:val="it-IT"/>
        </w:rPr>
        <w:t xml:space="preserve"> comprende</w:t>
      </w:r>
      <w:r w:rsidR="006E7057">
        <w:rPr>
          <w:rFonts w:ascii="Verdana" w:hAnsi="Verdana"/>
          <w:lang w:val="it-IT"/>
        </w:rPr>
        <w:t>va</w:t>
      </w:r>
      <w:r w:rsidRPr="006B7681">
        <w:rPr>
          <w:rFonts w:ascii="Verdana" w:hAnsi="Verdana"/>
          <w:lang w:val="it-IT"/>
        </w:rPr>
        <w:t xml:space="preserve"> i seguenti enti partecipati:</w:t>
      </w:r>
    </w:p>
    <w:p w14:paraId="74359D29" w14:textId="77777777" w:rsidR="004B4584" w:rsidRDefault="004B4584" w:rsidP="004B4584">
      <w:pPr>
        <w:pStyle w:val="Corpotesto"/>
        <w:numPr>
          <w:ilvl w:val="0"/>
          <w:numId w:val="2"/>
        </w:numPr>
        <w:spacing w:before="167" w:line="360" w:lineRule="auto"/>
        <w:ind w:right="125"/>
        <w:jc w:val="both"/>
        <w:rPr>
          <w:rFonts w:ascii="Verdana" w:hAnsi="Verdana"/>
          <w:lang w:val="it-IT"/>
        </w:rPr>
      </w:pPr>
      <w:r w:rsidRPr="006B7681">
        <w:rPr>
          <w:rFonts w:ascii="Verdana" w:hAnsi="Verdana"/>
          <w:lang w:val="it-IT"/>
        </w:rPr>
        <w:t>Fondazione UNIMI, Fondazione universitaria ai sensi dell’articolo 59, comma 3, della Legge 23 dicembre 2000, n. 388, e successive modificazioni dell’Università degli Studi di Milano, di cui l’Ateneo detiene il 100% del fondo di dotazione. La fondazione è stata costituita il 29/03/2018 tramite atto notarile di modifica statutaria della cessata Fondazione Filarete, per gestire le attività di trasferimento tecnologico dell’Ateneo</w:t>
      </w:r>
      <w:r w:rsidR="006242C0">
        <w:rPr>
          <w:rFonts w:ascii="Verdana" w:hAnsi="Verdana"/>
          <w:lang w:val="it-IT"/>
        </w:rPr>
        <w:t>;</w:t>
      </w:r>
    </w:p>
    <w:p w14:paraId="47DB2B2D" w14:textId="77777777" w:rsidR="00810669" w:rsidRPr="006B7681" w:rsidRDefault="00810669" w:rsidP="004B4584">
      <w:pPr>
        <w:pStyle w:val="Corpotesto"/>
        <w:numPr>
          <w:ilvl w:val="0"/>
          <w:numId w:val="2"/>
        </w:numPr>
        <w:spacing w:before="167" w:line="360" w:lineRule="auto"/>
        <w:ind w:right="125"/>
        <w:jc w:val="both"/>
        <w:rPr>
          <w:rFonts w:ascii="Verdana" w:hAnsi="Verdana"/>
          <w:lang w:val="it-IT"/>
        </w:rPr>
      </w:pPr>
      <w:r>
        <w:rPr>
          <w:rFonts w:ascii="Verdana" w:hAnsi="Verdana"/>
          <w:lang w:val="it-IT"/>
        </w:rPr>
        <w:t>Filarete Servizi s.r.l</w:t>
      </w:r>
      <w:r w:rsidR="00095AE2">
        <w:rPr>
          <w:rFonts w:ascii="Verdana" w:hAnsi="Verdana"/>
          <w:lang w:val="it-IT"/>
        </w:rPr>
        <w:t>.</w:t>
      </w:r>
      <w:r>
        <w:rPr>
          <w:rFonts w:ascii="Verdana" w:hAnsi="Verdana"/>
          <w:lang w:val="it-IT"/>
        </w:rPr>
        <w:t xml:space="preserve"> partecipata al 100% della Fondazione UNIMI</w:t>
      </w:r>
    </w:p>
    <w:p w14:paraId="3E142BCC" w14:textId="77777777" w:rsidR="004B4584" w:rsidRPr="006B7681" w:rsidRDefault="004B4584" w:rsidP="004B4584">
      <w:pPr>
        <w:spacing w:line="360" w:lineRule="auto"/>
        <w:jc w:val="both"/>
        <w:rPr>
          <w:color w:val="FF0000"/>
          <w:lang w:val="it-IT"/>
        </w:rPr>
        <w:sectPr w:rsidR="004B4584" w:rsidRPr="006B7681">
          <w:headerReference w:type="default" r:id="rId14"/>
          <w:footerReference w:type="default" r:id="rId15"/>
          <w:pgSz w:w="11900" w:h="16840"/>
          <w:pgMar w:top="1540" w:right="860" w:bottom="940" w:left="720" w:header="0" w:footer="746" w:gutter="0"/>
          <w:pgNumType w:start="4"/>
          <w:cols w:space="720"/>
        </w:sectPr>
      </w:pPr>
    </w:p>
    <w:p w14:paraId="26E111C5" w14:textId="7E1D2079" w:rsidR="004B4584" w:rsidRDefault="004B4584" w:rsidP="004B4584">
      <w:pPr>
        <w:pStyle w:val="Corpotesto"/>
        <w:spacing w:before="167" w:line="360" w:lineRule="auto"/>
        <w:ind w:left="527" w:right="125"/>
        <w:jc w:val="both"/>
        <w:rPr>
          <w:rFonts w:ascii="Verdana" w:hAnsi="Verdana"/>
          <w:lang w:val="it-IT"/>
        </w:rPr>
      </w:pPr>
      <w:r w:rsidRPr="006E7057">
        <w:rPr>
          <w:rFonts w:ascii="Verdana" w:hAnsi="Verdana"/>
          <w:lang w:val="it-IT"/>
        </w:rPr>
        <w:lastRenderedPageBreak/>
        <w:t>Ai fini della redazione del Bilancio Consolidato dell’Università degli Studi di Milano</w:t>
      </w:r>
      <w:r w:rsidR="006E7057" w:rsidRPr="006E7057">
        <w:rPr>
          <w:rFonts w:ascii="Verdana" w:hAnsi="Verdana"/>
          <w:lang w:val="it-IT"/>
        </w:rPr>
        <w:t xml:space="preserve"> per l’anno 202</w:t>
      </w:r>
      <w:r w:rsidR="00D95E02">
        <w:rPr>
          <w:rFonts w:ascii="Verdana" w:hAnsi="Verdana"/>
          <w:lang w:val="it-IT"/>
        </w:rPr>
        <w:t>4</w:t>
      </w:r>
      <w:r w:rsidR="006E7057" w:rsidRPr="006E7057">
        <w:rPr>
          <w:rFonts w:ascii="Verdana" w:hAnsi="Verdana"/>
          <w:lang w:val="it-IT"/>
        </w:rPr>
        <w:t>,</w:t>
      </w:r>
      <w:r w:rsidRPr="006E7057">
        <w:rPr>
          <w:rFonts w:ascii="Verdana" w:hAnsi="Verdana"/>
          <w:lang w:val="it-IT"/>
        </w:rPr>
        <w:t xml:space="preserve"> </w:t>
      </w:r>
      <w:r w:rsidR="00810669" w:rsidRPr="006E7057">
        <w:rPr>
          <w:rFonts w:ascii="Verdana" w:hAnsi="Verdana"/>
          <w:lang w:val="it-IT"/>
        </w:rPr>
        <w:t xml:space="preserve">è stato utilizzato il </w:t>
      </w:r>
      <w:r w:rsidR="00705F8F" w:rsidRPr="006E7057">
        <w:rPr>
          <w:rFonts w:ascii="Verdana" w:hAnsi="Verdana"/>
          <w:lang w:val="it-IT"/>
        </w:rPr>
        <w:t>B</w:t>
      </w:r>
      <w:r w:rsidR="00810669" w:rsidRPr="006E7057">
        <w:rPr>
          <w:rFonts w:ascii="Verdana" w:hAnsi="Verdana"/>
          <w:lang w:val="it-IT"/>
        </w:rPr>
        <w:t>ilancio d’esercizio della Fondazione UNIMI</w:t>
      </w:r>
      <w:r w:rsidR="00095AE2" w:rsidRPr="006E7057">
        <w:rPr>
          <w:rFonts w:ascii="Verdana" w:hAnsi="Verdana"/>
          <w:lang w:val="it-IT"/>
        </w:rPr>
        <w:t xml:space="preserve">, considerato che con atto di fusione del 2 novembre 2022 (rogito Notaio Angelo </w:t>
      </w:r>
      <w:proofErr w:type="spellStart"/>
      <w:r w:rsidR="00095AE2" w:rsidRPr="006E7057">
        <w:rPr>
          <w:rFonts w:ascii="Verdana" w:hAnsi="Verdana"/>
          <w:lang w:val="it-IT"/>
        </w:rPr>
        <w:t>Busani</w:t>
      </w:r>
      <w:proofErr w:type="spellEnd"/>
      <w:r w:rsidR="00095AE2" w:rsidRPr="006E7057">
        <w:rPr>
          <w:rFonts w:ascii="Verdana" w:hAnsi="Verdana"/>
          <w:lang w:val="it-IT"/>
        </w:rPr>
        <w:t xml:space="preserve"> di Milano, rep. N. 56429) avente decorrenza contabile e fiscale dal successivo 5 dicembre 2022, Fondazione UNIMI ha incorporato Filarete Servizi s.r.l</w:t>
      </w:r>
      <w:r w:rsidRPr="006E7057">
        <w:rPr>
          <w:rFonts w:ascii="Verdana" w:hAnsi="Verdana"/>
          <w:lang w:val="it-IT"/>
        </w:rPr>
        <w:t>.</w:t>
      </w:r>
      <w:r w:rsidR="00705F8F" w:rsidRPr="006E7057">
        <w:rPr>
          <w:rFonts w:ascii="Verdana" w:hAnsi="Verdana"/>
          <w:lang w:val="it-IT"/>
        </w:rPr>
        <w:t>, partecipata totalmente.</w:t>
      </w:r>
    </w:p>
    <w:p w14:paraId="2373722F" w14:textId="77777777" w:rsidR="004B4584" w:rsidRPr="006B7681" w:rsidRDefault="004B4584" w:rsidP="004B4584">
      <w:pPr>
        <w:pStyle w:val="Corpotesto"/>
        <w:rPr>
          <w:color w:val="FF0000"/>
          <w:sz w:val="28"/>
          <w:lang w:val="it-IT"/>
        </w:rPr>
      </w:pPr>
    </w:p>
    <w:p w14:paraId="1EF030B8" w14:textId="77777777" w:rsidR="004B4584" w:rsidRPr="006B7681" w:rsidRDefault="004B4584" w:rsidP="004B4584">
      <w:pPr>
        <w:pStyle w:val="Corpotesto"/>
        <w:rPr>
          <w:color w:val="FF0000"/>
          <w:sz w:val="28"/>
          <w:lang w:val="it-IT"/>
        </w:rPr>
      </w:pPr>
    </w:p>
    <w:p w14:paraId="7F89CCCB" w14:textId="77777777" w:rsidR="004B4584" w:rsidRPr="006B7681" w:rsidRDefault="008746FF" w:rsidP="004B4584">
      <w:pPr>
        <w:pStyle w:val="Titolo4"/>
        <w:spacing w:before="178"/>
        <w:ind w:left="567"/>
        <w:jc w:val="center"/>
        <w:rPr>
          <w:rFonts w:ascii="Verdana" w:hAnsi="Verdana"/>
          <w:b/>
          <w:lang w:val="it-IT"/>
        </w:rPr>
      </w:pPr>
      <w:r>
        <w:rPr>
          <w:rFonts w:ascii="Verdana" w:hAnsi="Verdana"/>
          <w:b/>
          <w:noProof/>
          <w:lang w:val="it-IT" w:eastAsia="it-IT"/>
        </w:rPr>
        <mc:AlternateContent>
          <mc:Choice Requires="wps">
            <w:drawing>
              <wp:anchor distT="4294967295" distB="4294967295" distL="0" distR="0" simplePos="0" relativeHeight="251668480" behindDoc="1" locked="0" layoutInCell="1" allowOverlap="1" wp14:anchorId="09B4D4FB" wp14:editId="795B51A9">
                <wp:simplePos x="0" y="0"/>
                <wp:positionH relativeFrom="page">
                  <wp:posOffset>773430</wp:posOffset>
                </wp:positionH>
                <wp:positionV relativeFrom="paragraph">
                  <wp:posOffset>347344</wp:posOffset>
                </wp:positionV>
                <wp:extent cx="6172835" cy="0"/>
                <wp:effectExtent l="0" t="0" r="37465" b="19050"/>
                <wp:wrapTopAndBottom/>
                <wp:docPr id="14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6">
                          <a:solidFill>
                            <a:srgbClr val="5D2A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8C283" id="Line 115" o:spid="_x0000_s1026" style="position:absolute;z-index:-2516480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7.35pt" to="546.9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" strokecolor="#5d2a24" strokeweight=".48pt">
                <w10:wrap type="topAndBottom" anchorx="page"/>
              </v:line>
            </w:pict>
          </mc:Fallback>
        </mc:AlternateContent>
      </w:r>
      <w:r w:rsidR="004B4584" w:rsidRPr="006B7681">
        <w:rPr>
          <w:rFonts w:ascii="Verdana" w:hAnsi="Verdana"/>
          <w:b/>
          <w:lang w:val="it-IT"/>
        </w:rPr>
        <w:t>CRITERI DI VALUTAZIONE PER LE POSTE DI BILANCIO</w:t>
      </w:r>
    </w:p>
    <w:p w14:paraId="648292A9" w14:textId="05A59E5C"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L’Università degli Studi di Milano, in applicazione del </w:t>
      </w:r>
      <w:proofErr w:type="spellStart"/>
      <w:r w:rsidRPr="006B7681">
        <w:rPr>
          <w:rFonts w:ascii="Verdana" w:hAnsi="Verdana"/>
          <w:lang w:val="it-IT"/>
        </w:rPr>
        <w:t>D.Lgs.</w:t>
      </w:r>
      <w:proofErr w:type="spellEnd"/>
      <w:r w:rsidRPr="006B7681">
        <w:rPr>
          <w:rFonts w:ascii="Verdana" w:hAnsi="Verdana"/>
          <w:lang w:val="it-IT"/>
        </w:rPr>
        <w:t xml:space="preserve"> n. 18/2012 e dei successivi decreti attuativi, ha predisposto il proprio Bilancio Consolidato </w:t>
      </w:r>
      <w:r w:rsidR="00CC079F">
        <w:rPr>
          <w:rFonts w:ascii="Verdana" w:hAnsi="Verdana"/>
          <w:lang w:val="it-IT"/>
        </w:rPr>
        <w:t>202</w:t>
      </w:r>
      <w:r w:rsidR="00532883">
        <w:rPr>
          <w:rFonts w:ascii="Verdana" w:hAnsi="Verdana"/>
          <w:lang w:val="it-IT"/>
        </w:rPr>
        <w:t>4</w:t>
      </w:r>
      <w:r w:rsidRPr="006B7681">
        <w:rPr>
          <w:rFonts w:ascii="Verdana" w:hAnsi="Verdana"/>
          <w:lang w:val="it-IT"/>
        </w:rPr>
        <w:t xml:space="preserve"> sulla base dei principi contabili e degli schemi di bilancio stabiliti nel D.I. n. </w:t>
      </w:r>
      <w:r w:rsidR="004E2825">
        <w:rPr>
          <w:rFonts w:ascii="Verdana" w:hAnsi="Verdana"/>
          <w:lang w:val="it-IT"/>
        </w:rPr>
        <w:t>34</w:t>
      </w:r>
      <w:r w:rsidRPr="006B7681">
        <w:rPr>
          <w:rFonts w:ascii="Verdana" w:hAnsi="Verdana"/>
          <w:lang w:val="it-IT"/>
        </w:rPr>
        <w:t xml:space="preserve"> del 1</w:t>
      </w:r>
      <w:r w:rsidR="004E2825">
        <w:rPr>
          <w:rFonts w:ascii="Verdana" w:hAnsi="Verdana"/>
          <w:lang w:val="it-IT"/>
        </w:rPr>
        <w:t>5</w:t>
      </w:r>
      <w:r w:rsidRPr="006B7681">
        <w:rPr>
          <w:rFonts w:ascii="Verdana" w:hAnsi="Verdana"/>
          <w:lang w:val="it-IT"/>
        </w:rPr>
        <w:t>.01.20</w:t>
      </w:r>
      <w:r w:rsidR="004E2825">
        <w:rPr>
          <w:rFonts w:ascii="Verdana" w:hAnsi="Verdana"/>
          <w:lang w:val="it-IT"/>
        </w:rPr>
        <w:t>25</w:t>
      </w:r>
      <w:r w:rsidRPr="006B7681">
        <w:rPr>
          <w:rFonts w:ascii="Verdana" w:hAnsi="Verdana"/>
          <w:lang w:val="it-IT"/>
        </w:rPr>
        <w:t>, nonché di quanto previsto dalle disposizioni del Codice Civile e dai principi contabili nazionali emanati dall’Organismo Italiano di Contabilità (OIC). Per completezza di informazioni e chiarezza espositiva si riportano tali criteri nella presente Nota Integrativa.</w:t>
      </w:r>
    </w:p>
    <w:p w14:paraId="0041549C"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Secondo l’articolo 35 del D. Lgs. n. 127/1991 i criteri per la redazione del Bilancio Consolidato devono essere quelli utilizzati nel Bilancio di esercizio della Controllante; si riportano quindi i criteri di valutazione adottati per le varie voci di bilancio applicate anche agli enti rientranti dell’Area di Consolidamento.</w:t>
      </w:r>
    </w:p>
    <w:p w14:paraId="655797C5" w14:textId="77777777" w:rsidR="004B4584" w:rsidRPr="006B7681" w:rsidRDefault="004B4584" w:rsidP="004B4584">
      <w:pPr>
        <w:pStyle w:val="Corpotesto"/>
        <w:rPr>
          <w:color w:val="FF0000"/>
          <w:sz w:val="28"/>
          <w:lang w:val="it-IT"/>
        </w:rPr>
      </w:pPr>
    </w:p>
    <w:p w14:paraId="6C665C1F" w14:textId="77777777" w:rsidR="004B4584" w:rsidRPr="006B7681" w:rsidRDefault="008746FF" w:rsidP="004B4584">
      <w:pPr>
        <w:pStyle w:val="Corpotesto"/>
        <w:spacing w:before="215"/>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69504" behindDoc="1" locked="0" layoutInCell="1" allowOverlap="1" wp14:anchorId="3F58AE3D" wp14:editId="48213F17">
                <wp:simplePos x="0" y="0"/>
                <wp:positionH relativeFrom="page">
                  <wp:posOffset>773430</wp:posOffset>
                </wp:positionH>
                <wp:positionV relativeFrom="paragraph">
                  <wp:posOffset>339089</wp:posOffset>
                </wp:positionV>
                <wp:extent cx="6172835" cy="0"/>
                <wp:effectExtent l="0" t="0" r="18415" b="19050"/>
                <wp:wrapTopAndBottom/>
                <wp:docPr id="14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18B94" id="Line 114" o:spid="_x0000_s1026" style="position:absolute;z-index:-2516469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7pt" to="546.9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06Iw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" strokecolor="#962e27" strokeweight=".16925mm">
                <v:stroke dashstyle="dash"/>
                <w10:wrap type="topAndBottom" anchorx="page"/>
              </v:line>
            </w:pict>
          </mc:Fallback>
        </mc:AlternateContent>
      </w:r>
      <w:r w:rsidR="004B4584" w:rsidRPr="006B7681">
        <w:rPr>
          <w:rFonts w:ascii="Verdana" w:hAnsi="Verdana"/>
          <w:lang w:val="it-IT"/>
        </w:rPr>
        <w:t>IMMOBILIZZAZIONI IMMATERIALI</w:t>
      </w:r>
    </w:p>
    <w:p w14:paraId="2DE90DA5"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Le immobilizzazioni immateriali sono beni od oneri pluriennali caratterizzati dalla natura immateriale e dalla mancanza di tangibilità, che manifestano i benefici economici lungo un arco temporale di più esercizi. Esse sono iscritte al costo di acquisto o di produzione: il costo di acquisto comprende anche gli oneri accessori; il costo di produzione comprende tutti i costi direttamente imputabili e quelli di indiretta attribuzione per la quota ragionevolmente imputabile. Per i beni immateriali utilizzati in attività istituzionale l’IVA, in quanto indetraibile, è portata ad incremento del costo.</w:t>
      </w:r>
    </w:p>
    <w:p w14:paraId="60BD3A7F"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Il costo delle immobilizzazioni immateriali, la cui utilizzazione è limitata nel </w:t>
      </w:r>
      <w:r w:rsidRPr="006B7681">
        <w:rPr>
          <w:rFonts w:ascii="Verdana" w:hAnsi="Verdana"/>
          <w:lang w:val="it-IT"/>
        </w:rPr>
        <w:lastRenderedPageBreak/>
        <w:t>tempo, viene sistematicamente ammortizzato in ogni esercizio, tenendo conto della residua possibilità di utilizzo.</w:t>
      </w:r>
    </w:p>
    <w:p w14:paraId="567A05E2"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L’immobilizzazione che, alla data di chiusura dell’esercizio, risulti durevolmente di valore inferiore a quello determinato secondo i criteri di cui sopra, viene iscritta a tale minor valore. I valori originari di iscrizione sono ripristinati, al netto dell’ammortamento, qualora vengano meno le ragioni che avevano originato tali svalutazioni.</w:t>
      </w:r>
    </w:p>
    <w:p w14:paraId="22409096" w14:textId="01EEBA79"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Nella redazione del Bilancio </w:t>
      </w:r>
      <w:r w:rsidR="00CC079F">
        <w:rPr>
          <w:rFonts w:ascii="Verdana" w:hAnsi="Verdana"/>
          <w:lang w:val="it-IT"/>
        </w:rPr>
        <w:t>202</w:t>
      </w:r>
      <w:r w:rsidR="00532883">
        <w:rPr>
          <w:rFonts w:ascii="Verdana" w:hAnsi="Verdana"/>
          <w:lang w:val="it-IT"/>
        </w:rPr>
        <w:t>4</w:t>
      </w:r>
      <w:r w:rsidRPr="006B7681">
        <w:rPr>
          <w:rFonts w:ascii="Verdana" w:hAnsi="Verdana"/>
          <w:lang w:val="it-IT"/>
        </w:rPr>
        <w:t xml:space="preserve">, in assenza di informazioni certe sulla generazione di benefici economici futuri derivanti dallo sfruttamento dei brevetti, i costi di acquisizione e/o di registrazione degli stessi sono stati iscritti </w:t>
      </w:r>
      <w:r w:rsidR="009B0F28">
        <w:rPr>
          <w:rFonts w:ascii="Verdana" w:hAnsi="Verdana"/>
          <w:lang w:val="it-IT"/>
        </w:rPr>
        <w:t>a</w:t>
      </w:r>
      <w:r w:rsidRPr="006B7681">
        <w:rPr>
          <w:rFonts w:ascii="Verdana" w:hAnsi="Verdana"/>
          <w:lang w:val="it-IT"/>
        </w:rPr>
        <w:t xml:space="preserve"> Conto Economico.</w:t>
      </w:r>
    </w:p>
    <w:p w14:paraId="21F78A09" w14:textId="77777777" w:rsidR="006C5618"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Concessioni, licenze, marchi e diritti simili vengono ammortizzati in funzione della durata del diritto</w:t>
      </w:r>
      <w:r w:rsidR="006C5618">
        <w:rPr>
          <w:rFonts w:ascii="Verdana" w:hAnsi="Verdana"/>
          <w:lang w:val="it-IT"/>
        </w:rPr>
        <w:t>.</w:t>
      </w:r>
    </w:p>
    <w:p w14:paraId="30772FF2"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Le migliorie</w:t>
      </w:r>
      <w:r w:rsidR="006C5618">
        <w:rPr>
          <w:rFonts w:ascii="Verdana" w:hAnsi="Verdana"/>
          <w:lang w:val="it-IT"/>
        </w:rPr>
        <w:t xml:space="preserve"> su beni di terzi</w:t>
      </w:r>
      <w:r w:rsidRPr="006B7681">
        <w:rPr>
          <w:rFonts w:ascii="Verdana" w:hAnsi="Verdana"/>
          <w:lang w:val="it-IT"/>
        </w:rPr>
        <w:t xml:space="preserve"> sono accolte tra le immobilizzazioni immateriali e sono ammortizzate tenendo conto della residua possibilità di utilizzo</w:t>
      </w:r>
      <w:r w:rsidR="00A5387F">
        <w:rPr>
          <w:rFonts w:ascii="Verdana" w:hAnsi="Verdana"/>
          <w:lang w:val="it-IT"/>
        </w:rPr>
        <w:t>,</w:t>
      </w:r>
      <w:r w:rsidRPr="006B7681">
        <w:rPr>
          <w:rFonts w:ascii="Verdana" w:hAnsi="Verdana"/>
          <w:lang w:val="it-IT"/>
        </w:rPr>
        <w:t xml:space="preserve"> nel caso in cui </w:t>
      </w:r>
      <w:r w:rsidR="00A5387F">
        <w:rPr>
          <w:rFonts w:ascii="Verdana" w:hAnsi="Verdana"/>
          <w:lang w:val="it-IT"/>
        </w:rPr>
        <w:t>tali</w:t>
      </w:r>
      <w:r w:rsidRPr="006B7681">
        <w:rPr>
          <w:rFonts w:ascii="Verdana" w:hAnsi="Verdana"/>
          <w:lang w:val="it-IT"/>
        </w:rPr>
        <w:t xml:space="preserve"> migliorie e le spese incrementative non siano separabili dai beni stessi (ovvero non possano avere una loro autonoma funzionalità). Diversamente sono iscritti tra le immobilizzazioni materiali. Questi costi sono ammortizzati in base alla minore durata tra la vita economico-tecnica delle migliorie effettuate e la durata del diritto di godimento/contratto di affitto.</w:t>
      </w:r>
    </w:p>
    <w:p w14:paraId="677724FD" w14:textId="1A66C0C9"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Così come per i brevetti, il costo di registrazione di marchi relativi ad attività commerciali svolte dai soggetti inclusi nel Bilancio Consolidato </w:t>
      </w:r>
      <w:r w:rsidR="001F4466">
        <w:rPr>
          <w:rFonts w:ascii="Verdana" w:hAnsi="Verdana"/>
          <w:lang w:val="it-IT"/>
        </w:rPr>
        <w:t xml:space="preserve">è stato imputato </w:t>
      </w:r>
      <w:r w:rsidR="009B0F28">
        <w:rPr>
          <w:rFonts w:ascii="Verdana" w:hAnsi="Verdana"/>
          <w:lang w:val="it-IT"/>
        </w:rPr>
        <w:t>direttamente a</w:t>
      </w:r>
      <w:r w:rsidRPr="006B7681">
        <w:rPr>
          <w:rFonts w:ascii="Verdana" w:hAnsi="Verdana"/>
          <w:lang w:val="it-IT"/>
        </w:rPr>
        <w:t xml:space="preserve"> Conto Economico, non avendo certezza dei benefici economici futuri derivanti dall’uso del marchio.</w:t>
      </w:r>
    </w:p>
    <w:p w14:paraId="60D2E216" w14:textId="77777777" w:rsidR="004B4584" w:rsidRPr="006B7681" w:rsidRDefault="004B4584" w:rsidP="004B4584">
      <w:pPr>
        <w:pStyle w:val="Corpotesto"/>
        <w:spacing w:before="2"/>
        <w:rPr>
          <w:color w:val="FF0000"/>
          <w:sz w:val="40"/>
          <w:lang w:val="it-IT"/>
        </w:rPr>
      </w:pPr>
    </w:p>
    <w:p w14:paraId="15386094" w14:textId="77777777" w:rsidR="004B4584" w:rsidRPr="006B7681" w:rsidRDefault="008746FF" w:rsidP="004B4584">
      <w:pPr>
        <w:pStyle w:val="Corpotesto"/>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0528" behindDoc="1" locked="0" layoutInCell="1" allowOverlap="1" wp14:anchorId="3E7E2288" wp14:editId="07FF98B2">
                <wp:simplePos x="0" y="0"/>
                <wp:positionH relativeFrom="page">
                  <wp:posOffset>773430</wp:posOffset>
                </wp:positionH>
                <wp:positionV relativeFrom="paragraph">
                  <wp:posOffset>204469</wp:posOffset>
                </wp:positionV>
                <wp:extent cx="6172835" cy="0"/>
                <wp:effectExtent l="0" t="0" r="18415" b="19050"/>
                <wp:wrapTopAndBottom/>
                <wp:docPr id="144"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C83F6" id="Line 113" o:spid="_x0000_s1026" style="position:absolute;z-index:-2516459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6.1pt" to="546.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4AcIw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IMMOBILIZZAZIONI MATERIALI</w:t>
      </w:r>
    </w:p>
    <w:p w14:paraId="2EDDC789"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Le immobilizzazioni materiali sono iscritte al costo di acquisto o di produzione: il costo di acquisto comprende anche gli oneri accessor</w:t>
      </w:r>
      <w:r w:rsidR="00506463">
        <w:rPr>
          <w:rFonts w:ascii="Verdana" w:hAnsi="Verdana"/>
          <w:lang w:val="it-IT"/>
        </w:rPr>
        <w:t>i</w:t>
      </w:r>
      <w:r w:rsidRPr="006B7681">
        <w:rPr>
          <w:rFonts w:ascii="Verdana" w:hAnsi="Verdana"/>
          <w:lang w:val="it-IT"/>
        </w:rPr>
        <w:t xml:space="preserve">; il costo di produzione comprende tutti i costi direttamente imputabili, e può comprendere anche altri costi relativi al periodo di fabbricazione fino al momento in cui il bene può essere utilizzato, per la quota ragionevolmente imputabile al </w:t>
      </w:r>
      <w:r w:rsidR="009B0F28">
        <w:rPr>
          <w:rFonts w:ascii="Verdana" w:hAnsi="Verdana"/>
          <w:lang w:val="it-IT"/>
        </w:rPr>
        <w:t>bene</w:t>
      </w:r>
      <w:r w:rsidRPr="006B7681">
        <w:rPr>
          <w:rFonts w:ascii="Verdana" w:hAnsi="Verdana"/>
          <w:lang w:val="it-IT"/>
        </w:rPr>
        <w:t xml:space="preserve">. Per i beni materiali </w:t>
      </w:r>
      <w:r w:rsidRPr="006B7681">
        <w:rPr>
          <w:rFonts w:ascii="Verdana" w:hAnsi="Verdana"/>
          <w:lang w:val="it-IT"/>
        </w:rPr>
        <w:lastRenderedPageBreak/>
        <w:t>utilizzati in attività istituzionale l’IVA, in quanto indetraibile, è portata ad incremento del costo.</w:t>
      </w:r>
    </w:p>
    <w:p w14:paraId="0D3CAE56"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I costi di manutenzione ordinaria delle immobilizzazioni sono interamente iscritti </w:t>
      </w:r>
      <w:r w:rsidR="007F2047">
        <w:rPr>
          <w:rFonts w:ascii="Verdana" w:hAnsi="Verdana"/>
          <w:lang w:val="it-IT"/>
        </w:rPr>
        <w:t>a</w:t>
      </w:r>
      <w:r w:rsidRPr="006B7681">
        <w:rPr>
          <w:rFonts w:ascii="Verdana" w:hAnsi="Verdana"/>
          <w:lang w:val="it-IT"/>
        </w:rPr>
        <w:t xml:space="preserve"> Conto Economico nell’esercizio in cui sono sostenuti. I costi di manutenzione che aumentano la capacità produttiva e/o la sicurezza del bene e/o prolungano la vita utile, sono portati ad incremento del valore del bene cui fanno riferimento e poi ammortizzati.</w:t>
      </w:r>
    </w:p>
    <w:p w14:paraId="6BF8CB5E"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Il costo delle immobilizzazioni materiali, determinato come sopra descritto, viene sistematicamente ammortizzato in ogni esercizio, tenendo conto della residua possibilità di utilizzo.</w:t>
      </w:r>
    </w:p>
    <w:p w14:paraId="429EC2D8"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L’immobilizzazione che, alla data di chiusura dell’esercizio, risulti durevolmente di valore inferiore a quello determinato secondo i precedenti criteri, viene svalutata attraverso l’iscrizione di un apposito fondo rettificativo. I valori originari di iscrizione sono ripristinati qualora vengano meno le ragioni che avevano originato le svalutazioni.</w:t>
      </w:r>
    </w:p>
    <w:p w14:paraId="5FA5AF4F" w14:textId="77777777" w:rsidR="00384306"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Le aliquote di ammortamento utilizzate nel Bilancio Consolidato sono le stesse già in uso nel Bilancio dell’Università, salvo i casi in cui l’Ateneo, non avendo alcune specifiche tipologie di beni, ha recepito le aliquote stabilite dagli altri enti incusi nel Consolidato. </w:t>
      </w:r>
    </w:p>
    <w:p w14:paraId="7243578B"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contributi in conto capitale ricevuti a fronte di specifici investimenti per beni soggetti ad ammortamento sono iscritti nei risconti passivi, concorrendo al risultato economico dei vari esercizi sulla base del piano di ammortamento dei cespiti ai quali si riferiscono.</w:t>
      </w:r>
    </w:p>
    <w:p w14:paraId="1C825447"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Le opere d'arte, i beni di valore storico e le collezioni scientifiche, sono iscritti al costo e non sono soggetti ad ammortamento in quanto tendono a non perdere valore nel corso del tempo.</w:t>
      </w:r>
    </w:p>
    <w:p w14:paraId="4EE7E71B"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Per quanto attiene </w:t>
      </w:r>
      <w:r w:rsidR="007F2047">
        <w:rPr>
          <w:rFonts w:ascii="Verdana" w:hAnsi="Verdana"/>
          <w:lang w:val="it-IT"/>
        </w:rPr>
        <w:t>a</w:t>
      </w:r>
      <w:r w:rsidRPr="006B7681">
        <w:rPr>
          <w:rFonts w:ascii="Verdana" w:hAnsi="Verdana"/>
          <w:lang w:val="it-IT"/>
        </w:rPr>
        <w:t>i beni pervenuti tramite donazione, lascito testamentario o altre liberalità, gli stessi sono iscritti sulla base del valore indicato nell’atto di donazione o, in mancanza, sulla base di una relazione di stima da parte di un esperto di settore.</w:t>
      </w:r>
    </w:p>
    <w:p w14:paraId="3199E34E" w14:textId="77777777" w:rsidR="004B4584" w:rsidRPr="003D3AF6" w:rsidRDefault="004B4584" w:rsidP="004B4584">
      <w:pPr>
        <w:pStyle w:val="Corpotesto"/>
        <w:spacing w:before="167" w:line="360" w:lineRule="auto"/>
        <w:ind w:left="527" w:right="125"/>
        <w:jc w:val="both"/>
        <w:rPr>
          <w:rFonts w:ascii="Verdana" w:hAnsi="Verdana"/>
        </w:rPr>
      </w:pPr>
      <w:r w:rsidRPr="003D3AF6">
        <w:rPr>
          <w:rFonts w:ascii="Verdana" w:hAnsi="Verdana"/>
        </w:rPr>
        <w:lastRenderedPageBreak/>
        <w:t>Il bene:</w:t>
      </w:r>
    </w:p>
    <w:p w14:paraId="77B201C5" w14:textId="77777777" w:rsidR="004B4584" w:rsidRPr="006B7681" w:rsidRDefault="004B4584" w:rsidP="004B4584">
      <w:pPr>
        <w:pStyle w:val="Corpotesto"/>
        <w:numPr>
          <w:ilvl w:val="0"/>
          <w:numId w:val="3"/>
        </w:numPr>
        <w:spacing w:before="167" w:line="360" w:lineRule="auto"/>
        <w:ind w:right="125"/>
        <w:jc w:val="both"/>
        <w:rPr>
          <w:rFonts w:ascii="Verdana" w:hAnsi="Verdana"/>
          <w:lang w:val="it-IT"/>
        </w:rPr>
      </w:pPr>
      <w:r w:rsidRPr="006B7681">
        <w:rPr>
          <w:rFonts w:ascii="Verdana" w:hAnsi="Verdana"/>
          <w:lang w:val="it-IT"/>
        </w:rPr>
        <w:t>se non soggetto ad ammortamento, è iscritto nelle immobilizzazioni materiali ed il corrispondente valore è iscritto nel patrimonio netto vincolato, in un fondo di riserva adeguatamente distinto;</w:t>
      </w:r>
    </w:p>
    <w:p w14:paraId="02FAEBFD" w14:textId="77777777" w:rsidR="004B4584" w:rsidRPr="006B7681" w:rsidRDefault="004B4584" w:rsidP="004B4584">
      <w:pPr>
        <w:pStyle w:val="Corpotesto"/>
        <w:numPr>
          <w:ilvl w:val="0"/>
          <w:numId w:val="3"/>
        </w:numPr>
        <w:spacing w:before="167" w:line="360" w:lineRule="auto"/>
        <w:ind w:right="125"/>
        <w:jc w:val="both"/>
        <w:rPr>
          <w:rFonts w:ascii="Verdana" w:hAnsi="Verdana"/>
          <w:lang w:val="it-IT"/>
        </w:rPr>
      </w:pPr>
      <w:r w:rsidRPr="006B7681">
        <w:rPr>
          <w:rFonts w:ascii="Verdana" w:hAnsi="Verdana"/>
          <w:lang w:val="it-IT"/>
        </w:rPr>
        <w:t>se soggetto ad ammortamento, è iscritto, all’atto dell’acquisizione, nelle immobilizzazioni materiali con contropartita una voce di Conto Economico (provento straordinario) che viene riscontato a fine esercizio, in relazione al piano di ammortamento.</w:t>
      </w:r>
    </w:p>
    <w:p w14:paraId="6F3C017A" w14:textId="77777777" w:rsidR="004B4584" w:rsidRPr="006B7681" w:rsidRDefault="004B4584" w:rsidP="004B4584">
      <w:pPr>
        <w:pStyle w:val="Corpotesto"/>
        <w:rPr>
          <w:color w:val="FF0000"/>
          <w:sz w:val="28"/>
          <w:lang w:val="it-IT"/>
        </w:rPr>
      </w:pPr>
    </w:p>
    <w:p w14:paraId="6C11AAD8" w14:textId="77777777" w:rsidR="004B4584" w:rsidRPr="006B7681" w:rsidRDefault="008746FF" w:rsidP="004B4584">
      <w:pPr>
        <w:pStyle w:val="Corpotesto"/>
        <w:spacing w:before="214"/>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1552" behindDoc="1" locked="0" layoutInCell="1" allowOverlap="1" wp14:anchorId="73919D9B" wp14:editId="3458454F">
                <wp:simplePos x="0" y="0"/>
                <wp:positionH relativeFrom="page">
                  <wp:posOffset>773430</wp:posOffset>
                </wp:positionH>
                <wp:positionV relativeFrom="paragraph">
                  <wp:posOffset>340359</wp:posOffset>
                </wp:positionV>
                <wp:extent cx="6172835" cy="0"/>
                <wp:effectExtent l="0" t="0" r="18415" b="19050"/>
                <wp:wrapTopAndBottom/>
                <wp:docPr id="143"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C5E0B" id="Line 112" o:spid="_x0000_s1026" style="position:absolute;z-index:-2516449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8pt" to="546.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cQKIw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" strokecolor="#962e27" strokeweight=".16925mm">
                <v:stroke dashstyle="dash"/>
                <w10:wrap type="topAndBottom" anchorx="page"/>
              </v:line>
            </w:pict>
          </mc:Fallback>
        </mc:AlternateContent>
      </w:r>
      <w:r w:rsidR="004B4584" w:rsidRPr="006B7681">
        <w:rPr>
          <w:rFonts w:ascii="Verdana" w:hAnsi="Verdana"/>
          <w:lang w:val="it-IT"/>
        </w:rPr>
        <w:t>IMMOBILIZZAZIONI FINANZIARIE</w:t>
      </w:r>
    </w:p>
    <w:p w14:paraId="7CD4053E" w14:textId="77777777" w:rsidR="004B4584" w:rsidRPr="006B7681" w:rsidRDefault="004B4584" w:rsidP="006C5618">
      <w:pPr>
        <w:pStyle w:val="Corpotesto"/>
        <w:spacing w:before="167" w:line="360" w:lineRule="auto"/>
        <w:ind w:left="527" w:right="125"/>
        <w:jc w:val="both"/>
        <w:rPr>
          <w:rFonts w:ascii="Verdana" w:hAnsi="Verdana"/>
          <w:lang w:val="it-IT"/>
        </w:rPr>
      </w:pPr>
      <w:r w:rsidRPr="006B7681">
        <w:rPr>
          <w:rFonts w:ascii="Verdana" w:hAnsi="Verdana"/>
          <w:lang w:val="it-IT"/>
        </w:rPr>
        <w:t>La voce comprende le partecipazioni destinate ad investimento durevole</w:t>
      </w:r>
      <w:r w:rsidR="006C5618">
        <w:rPr>
          <w:rFonts w:ascii="Verdana" w:hAnsi="Verdana"/>
          <w:lang w:val="it-IT"/>
        </w:rPr>
        <w:t xml:space="preserve"> ed i depositi cauzionali</w:t>
      </w:r>
      <w:r w:rsidRPr="006B7681">
        <w:rPr>
          <w:rFonts w:ascii="Verdana" w:hAnsi="Verdana"/>
          <w:lang w:val="it-IT"/>
        </w:rPr>
        <w:t>. Le partecipazioni detenute in aziende, società ed enti controllati</w:t>
      </w:r>
      <w:r w:rsidR="007F2047">
        <w:rPr>
          <w:rFonts w:ascii="Verdana" w:hAnsi="Verdana"/>
          <w:lang w:val="it-IT"/>
        </w:rPr>
        <w:t xml:space="preserve"> o collegati</w:t>
      </w:r>
      <w:r w:rsidRPr="006B7681">
        <w:rPr>
          <w:rFonts w:ascii="Verdana" w:hAnsi="Verdana"/>
          <w:lang w:val="it-IT"/>
        </w:rPr>
        <w:t>, non soggette a consolidamento, sono state iscritte</w:t>
      </w:r>
      <w:r w:rsidR="006C5618">
        <w:rPr>
          <w:rFonts w:ascii="Verdana" w:hAnsi="Verdana"/>
          <w:lang w:val="it-IT"/>
        </w:rPr>
        <w:t xml:space="preserve"> al costo d’acquisto, comprensivo degli oneri accessori, rettificato in presenza di perdite durevoli di valore.</w:t>
      </w:r>
    </w:p>
    <w:p w14:paraId="6CDA2790" w14:textId="77777777" w:rsidR="004B4584" w:rsidRPr="006B7681" w:rsidRDefault="004B4584" w:rsidP="004B4584">
      <w:pPr>
        <w:pStyle w:val="Corpotesto"/>
        <w:rPr>
          <w:color w:val="FF0000"/>
          <w:sz w:val="28"/>
          <w:lang w:val="it-IT"/>
        </w:rPr>
      </w:pPr>
    </w:p>
    <w:p w14:paraId="082CABE3" w14:textId="77777777" w:rsidR="004B4584" w:rsidRPr="006B7681" w:rsidRDefault="008746FF" w:rsidP="004B4584">
      <w:pPr>
        <w:pStyle w:val="Corpotesto"/>
        <w:spacing w:before="217"/>
        <w:ind w:left="567" w:right="114"/>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2576" behindDoc="1" locked="0" layoutInCell="1" allowOverlap="1" wp14:anchorId="3967C73C" wp14:editId="5D5312F9">
                <wp:simplePos x="0" y="0"/>
                <wp:positionH relativeFrom="page">
                  <wp:posOffset>773430</wp:posOffset>
                </wp:positionH>
                <wp:positionV relativeFrom="paragraph">
                  <wp:posOffset>340359</wp:posOffset>
                </wp:positionV>
                <wp:extent cx="6172835" cy="0"/>
                <wp:effectExtent l="0" t="0" r="18415" b="19050"/>
                <wp:wrapTopAndBottom/>
                <wp:docPr id="14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062F8" id="Line 111" o:spid="_x0000_s1026" style="position:absolute;z-index:-2516439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8pt" to="546.9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" strokecolor="#962e27" strokeweight=".16925mm">
                <v:stroke dashstyle="dash"/>
                <w10:wrap type="topAndBottom" anchorx="page"/>
              </v:line>
            </w:pict>
          </mc:Fallback>
        </mc:AlternateContent>
      </w:r>
      <w:r w:rsidR="004B4584" w:rsidRPr="006B7681">
        <w:rPr>
          <w:rFonts w:ascii="Verdana" w:hAnsi="Verdana"/>
          <w:lang w:val="it-IT"/>
        </w:rPr>
        <w:t>RIMANENZE</w:t>
      </w:r>
    </w:p>
    <w:p w14:paraId="34CADE96" w14:textId="13FB7021" w:rsidR="004B4584"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Precisato che l’Ateneo non ha una gestione di magazzino, al 31/12/</w:t>
      </w:r>
      <w:r w:rsidR="00CC079F">
        <w:rPr>
          <w:rFonts w:ascii="Verdana" w:hAnsi="Verdana"/>
          <w:lang w:val="it-IT"/>
        </w:rPr>
        <w:t>202</w:t>
      </w:r>
      <w:r w:rsidR="00532883">
        <w:rPr>
          <w:rFonts w:ascii="Verdana" w:hAnsi="Verdana"/>
          <w:lang w:val="it-IT"/>
        </w:rPr>
        <w:t>4</w:t>
      </w:r>
      <w:r w:rsidRPr="006B7681">
        <w:rPr>
          <w:rFonts w:ascii="Verdana" w:hAnsi="Verdana"/>
          <w:lang w:val="it-IT"/>
        </w:rPr>
        <w:t xml:space="preserve"> il conto rimanenze </w:t>
      </w:r>
      <w:r w:rsidR="006C5618">
        <w:rPr>
          <w:rFonts w:ascii="Verdana" w:hAnsi="Verdana"/>
          <w:lang w:val="it-IT"/>
        </w:rPr>
        <w:t xml:space="preserve">rileva </w:t>
      </w:r>
      <w:r w:rsidRPr="006B7681">
        <w:rPr>
          <w:rFonts w:ascii="Verdana" w:hAnsi="Verdana"/>
          <w:lang w:val="it-IT"/>
        </w:rPr>
        <w:t>gli acconti per anticipazioni delle spese contrattuali versate ai fornitori nei casi previsti dalla normativa vigente in materia (articolo 35, comma 18, D. Lgs. 50/2016)</w:t>
      </w:r>
      <w:r w:rsidR="0094177E">
        <w:rPr>
          <w:rFonts w:ascii="Verdana" w:hAnsi="Verdana"/>
          <w:lang w:val="it-IT"/>
        </w:rPr>
        <w:t>.</w:t>
      </w:r>
    </w:p>
    <w:p w14:paraId="65C9E008" w14:textId="77777777" w:rsidR="004B4584" w:rsidRPr="006B7681" w:rsidRDefault="008746FF" w:rsidP="004B4584">
      <w:pPr>
        <w:pStyle w:val="Corpotesto"/>
        <w:spacing w:before="216"/>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3600" behindDoc="1" locked="0" layoutInCell="1" allowOverlap="1" wp14:anchorId="570BD3EA" wp14:editId="7BCDA2B4">
                <wp:simplePos x="0" y="0"/>
                <wp:positionH relativeFrom="page">
                  <wp:posOffset>773430</wp:posOffset>
                </wp:positionH>
                <wp:positionV relativeFrom="paragraph">
                  <wp:posOffset>339724</wp:posOffset>
                </wp:positionV>
                <wp:extent cx="6172835" cy="0"/>
                <wp:effectExtent l="0" t="0" r="18415" b="19050"/>
                <wp:wrapTopAndBottom/>
                <wp:docPr id="14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02001" id="Line 110" o:spid="_x0000_s1026" style="position:absolute;z-index:-2516428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75pt" to="546.9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" strokecolor="#962e27" strokeweight=".16925mm">
                <v:stroke dashstyle="dash"/>
                <w10:wrap type="topAndBottom" anchorx="page"/>
              </v:line>
            </w:pict>
          </mc:Fallback>
        </mc:AlternateContent>
      </w:r>
      <w:r w:rsidR="004B4584" w:rsidRPr="006B7681">
        <w:rPr>
          <w:rFonts w:ascii="Verdana" w:hAnsi="Verdana"/>
          <w:lang w:val="it-IT"/>
        </w:rPr>
        <w:t>CREDITI E DEBITI</w:t>
      </w:r>
    </w:p>
    <w:p w14:paraId="0CA46DF3"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I crediti rappresentano il diritto ad esigere ad una data scadenza determinati </w:t>
      </w:r>
      <w:proofErr w:type="spellStart"/>
      <w:r w:rsidRPr="006B7681">
        <w:rPr>
          <w:rFonts w:ascii="Verdana" w:hAnsi="Verdana"/>
          <w:lang w:val="it-IT"/>
        </w:rPr>
        <w:t>ammontari</w:t>
      </w:r>
      <w:proofErr w:type="spellEnd"/>
      <w:r w:rsidRPr="006B7681">
        <w:rPr>
          <w:rFonts w:ascii="Verdana" w:hAnsi="Verdana"/>
          <w:lang w:val="it-IT"/>
        </w:rPr>
        <w:t>. In particolare, i crediti per contributi sono iscritti solo a fronte di una comunicazione ufficiale da parte del soggetto finanziatore in merito all’assegnazione definitiva a favore dell’Ateneo o, nel caso di amministrazioni pubbliche, in presenza di atto o provvedimento ufficiale di assegnazione.</w:t>
      </w:r>
    </w:p>
    <w:p w14:paraId="1B1AAAFE" w14:textId="72797861"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crediti verso gli studenti sono dati da</w:t>
      </w:r>
      <w:r w:rsidR="007F2047">
        <w:rPr>
          <w:rFonts w:ascii="Verdana" w:hAnsi="Verdana"/>
          <w:lang w:val="it-IT"/>
        </w:rPr>
        <w:t>lle somme dovute</w:t>
      </w:r>
      <w:r w:rsidRPr="006B7681">
        <w:rPr>
          <w:rFonts w:ascii="Verdana" w:hAnsi="Verdana"/>
          <w:lang w:val="it-IT"/>
        </w:rPr>
        <w:t xml:space="preserve"> per tasse e contributi dagli studenti che hanno perfezionato l’iscrizione ai corsi di laurea triennale e magistrale alla data di redazione del Bilancio </w:t>
      </w:r>
      <w:r w:rsidR="00CC079F">
        <w:rPr>
          <w:rFonts w:ascii="Verdana" w:hAnsi="Verdana"/>
          <w:lang w:val="it-IT"/>
        </w:rPr>
        <w:t>202</w:t>
      </w:r>
      <w:r w:rsidR="00532883">
        <w:rPr>
          <w:rFonts w:ascii="Verdana" w:hAnsi="Verdana"/>
          <w:lang w:val="it-IT"/>
        </w:rPr>
        <w:t>4</w:t>
      </w:r>
      <w:r w:rsidRPr="006B7681">
        <w:rPr>
          <w:rFonts w:ascii="Verdana" w:hAnsi="Verdana"/>
          <w:lang w:val="it-IT"/>
        </w:rPr>
        <w:t>.</w:t>
      </w:r>
    </w:p>
    <w:p w14:paraId="691E9016"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lastRenderedPageBreak/>
        <w:t xml:space="preserve">I crediti sono esposti al loro valore di presumibile realizzo. Il valore nominale dei crediti è rettificato per tenere in considerazione, alla data di chiusura dell’esercizio, le situazioni di inesigibilità specifiche o generiche. Il fondo svalutazione crediti riportato a diretta deduzione dei crediti medesimi riflette, quindi, sia accantonamenti specifici, realizzati in presenza di fatti e circostanze che indicano che un determinato credito è deteriorato, sia accantonamenti generici finalizzati a dare una corretta rappresentazione del rischio di credito che grava sull’Ateneo. La determinazione degli accantonamenti generici è stata realizzata </w:t>
      </w:r>
      <w:r w:rsidR="007F2047">
        <w:rPr>
          <w:rFonts w:ascii="Verdana" w:hAnsi="Verdana"/>
          <w:lang w:val="it-IT"/>
        </w:rPr>
        <w:t>prendendo</w:t>
      </w:r>
      <w:r w:rsidRPr="006B7681">
        <w:rPr>
          <w:rFonts w:ascii="Verdana" w:hAnsi="Verdana"/>
          <w:lang w:val="it-IT"/>
        </w:rPr>
        <w:t xml:space="preserve"> in considerazione anche l’anno di nascita dei crediti. L’accantonamento al fondo svalutazione crediti è realizzato in ossequio ai principi di competenza e di prudenza. In questa prospettiva gli accantonamenti sono stati effettuati per riflettere in modo veritiero e corretto gli accadimenti economici, senza che ciò implichi una riduzione da parte dell’Ateneo dell’impegno e degli sforzi orientati al recupero dei crediti.</w:t>
      </w:r>
    </w:p>
    <w:p w14:paraId="548A9693"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debiti sono iscritti al valore nominale.</w:t>
      </w:r>
    </w:p>
    <w:p w14:paraId="63BF6589"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I crediti e debiti espressi originariamente in valuta estera sono iscritti in base ai cambi in vigore alla data in cui sono sorti o alla data del documento. </w:t>
      </w:r>
    </w:p>
    <w:p w14:paraId="40A71455" w14:textId="77777777" w:rsidR="004B4584" w:rsidRPr="006B7681" w:rsidRDefault="004B4584" w:rsidP="004B4584">
      <w:pPr>
        <w:pStyle w:val="Corpotesto"/>
        <w:spacing w:before="82"/>
        <w:ind w:left="1794"/>
        <w:rPr>
          <w:color w:val="FF0000"/>
          <w:spacing w:val="8"/>
          <w:lang w:val="it-IT"/>
        </w:rPr>
      </w:pPr>
    </w:p>
    <w:p w14:paraId="64C3D95E" w14:textId="77777777" w:rsidR="004B4584" w:rsidRPr="006B7681" w:rsidRDefault="008746FF" w:rsidP="004B4584">
      <w:pPr>
        <w:pStyle w:val="Corpotesto"/>
        <w:spacing w:before="82"/>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4624" behindDoc="1" locked="0" layoutInCell="1" allowOverlap="1" wp14:anchorId="1AE7C668" wp14:editId="48B356BA">
                <wp:simplePos x="0" y="0"/>
                <wp:positionH relativeFrom="page">
                  <wp:posOffset>773430</wp:posOffset>
                </wp:positionH>
                <wp:positionV relativeFrom="paragraph">
                  <wp:posOffset>254634</wp:posOffset>
                </wp:positionV>
                <wp:extent cx="6172835" cy="0"/>
                <wp:effectExtent l="0" t="0" r="18415" b="19050"/>
                <wp:wrapTopAndBottom/>
                <wp:docPr id="140"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FD827" id="Line 109" o:spid="_x0000_s1026" style="position:absolute;z-index:-2516418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0.05pt" to="546.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5QIw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spacing w:val="8"/>
          <w:lang w:val="it-IT"/>
        </w:rPr>
        <w:t>ATTIVITÀ FINANZIARIE COMPRESE NELL’ATTIVO</w:t>
      </w:r>
      <w:r w:rsidR="004B4584" w:rsidRPr="006B7681">
        <w:rPr>
          <w:rFonts w:ascii="Verdana" w:hAnsi="Verdana"/>
          <w:spacing w:val="62"/>
          <w:lang w:val="it-IT"/>
        </w:rPr>
        <w:t xml:space="preserve"> </w:t>
      </w:r>
      <w:r w:rsidR="004B4584" w:rsidRPr="006B7681">
        <w:rPr>
          <w:rFonts w:ascii="Verdana" w:hAnsi="Verdana"/>
          <w:spacing w:val="8"/>
          <w:lang w:val="it-IT"/>
        </w:rPr>
        <w:t>CIRCOLANTE</w:t>
      </w:r>
    </w:p>
    <w:p w14:paraId="4876D8D8"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Si tratta di investimenti in partecipazioni, titoli o altri strumenti finanziari destinati ad essere impiegati o smobilizzati nel breve termine e per tale motivo non sono classificati tra le immobilizzazioni finanziarie.</w:t>
      </w:r>
    </w:p>
    <w:p w14:paraId="1269AD50"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titoli e le attività finanziarie che non costituiscono immobilizzazioni finanziarie sono iscritti al costo di acquisto, ovvero al valore di realizzazione desumibile dal mercato, se minore.</w:t>
      </w:r>
    </w:p>
    <w:p w14:paraId="7B2A9D8A" w14:textId="77777777" w:rsidR="004B4584" w:rsidRPr="006B7681" w:rsidRDefault="004B4584" w:rsidP="004B4584">
      <w:pPr>
        <w:pStyle w:val="Corpotesto"/>
        <w:spacing w:before="2"/>
        <w:rPr>
          <w:color w:val="FF0000"/>
          <w:sz w:val="40"/>
          <w:lang w:val="it-IT"/>
        </w:rPr>
      </w:pPr>
    </w:p>
    <w:p w14:paraId="2CEAC247" w14:textId="77777777" w:rsidR="004B4584" w:rsidRPr="006B7681" w:rsidRDefault="008746FF" w:rsidP="004B4584">
      <w:pPr>
        <w:pStyle w:val="Corpotesto"/>
        <w:spacing w:before="1"/>
        <w:ind w:left="567" w:right="-28"/>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5648" behindDoc="1" locked="0" layoutInCell="1" allowOverlap="1" wp14:anchorId="2312FA55" wp14:editId="2A1A63C6">
                <wp:simplePos x="0" y="0"/>
                <wp:positionH relativeFrom="page">
                  <wp:posOffset>773430</wp:posOffset>
                </wp:positionH>
                <wp:positionV relativeFrom="paragraph">
                  <wp:posOffset>205104</wp:posOffset>
                </wp:positionV>
                <wp:extent cx="6172835" cy="0"/>
                <wp:effectExtent l="0" t="0" r="18415" b="19050"/>
                <wp:wrapTopAndBottom/>
                <wp:docPr id="13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F00C0" id="Line 108" o:spid="_x0000_s1026" style="position:absolute;z-index:-2516408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6.15pt" to="546.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DISPONIBILITÀ LIQUIDE</w:t>
      </w:r>
    </w:p>
    <w:p w14:paraId="452BDD1B"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Si tratta dei depositi bancari, depositi postali, assegni, denaro contante e valori bollati. Queste poste sono valutate al valore nominale.</w:t>
      </w:r>
    </w:p>
    <w:p w14:paraId="3ECE414E" w14:textId="77777777" w:rsidR="004B4584" w:rsidRPr="006B7681" w:rsidRDefault="004B4584" w:rsidP="004B4584">
      <w:pPr>
        <w:pStyle w:val="Corpotesto"/>
        <w:spacing w:before="3"/>
        <w:rPr>
          <w:color w:val="FF0000"/>
          <w:sz w:val="40"/>
          <w:lang w:val="it-IT"/>
        </w:rPr>
      </w:pPr>
    </w:p>
    <w:p w14:paraId="09AC27C7" w14:textId="77777777" w:rsidR="004B4584" w:rsidRPr="006B7681" w:rsidRDefault="008746FF" w:rsidP="004B4584">
      <w:pPr>
        <w:pStyle w:val="Corpotesto"/>
        <w:spacing w:before="1"/>
        <w:ind w:left="567" w:right="114"/>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76672" behindDoc="1" locked="0" layoutInCell="1" allowOverlap="1" wp14:anchorId="5172750D" wp14:editId="2F01508F">
                <wp:simplePos x="0" y="0"/>
                <wp:positionH relativeFrom="page">
                  <wp:posOffset>773430</wp:posOffset>
                </wp:positionH>
                <wp:positionV relativeFrom="paragraph">
                  <wp:posOffset>205104</wp:posOffset>
                </wp:positionV>
                <wp:extent cx="6172835" cy="0"/>
                <wp:effectExtent l="0" t="0" r="18415" b="19050"/>
                <wp:wrapTopAndBottom/>
                <wp:docPr id="13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06CCA" id="Line 107" o:spid="_x0000_s1026" style="position:absolute;z-index:-2516398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6.15pt" to="546.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" strokecolor="#962e27" strokeweight=".16925mm">
                <v:stroke dashstyle="dash"/>
                <w10:wrap type="topAndBottom" anchorx="page"/>
              </v:line>
            </w:pict>
          </mc:Fallback>
        </mc:AlternateContent>
      </w:r>
      <w:r w:rsidR="004B4584" w:rsidRPr="006B7681">
        <w:rPr>
          <w:rFonts w:ascii="Verdana" w:hAnsi="Verdana"/>
          <w:lang w:val="it-IT"/>
        </w:rPr>
        <w:t>RATEI E RISCONTI</w:t>
      </w:r>
    </w:p>
    <w:p w14:paraId="2C7EB9FD"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lastRenderedPageBreak/>
        <w:t>Nella voce “Ratei e risconti attivi” sono iscritti rispettivamente i proventi di competenza dell’esercizio che avranno manifestazione finanziaria in esercizi successivi e i costi rilevati entro la chiusura dell’esercizio, ma di competenza di esercizi successivi. Nella voce “Ratei e risconti passivi” sono iscritti rispettivamente i costi di competenza dell’esercizio che avranno manifestazione finanziaria in esercizi successivi e i proventi rilevati entro la chiusura dell’esercizio, ma di competenza di esercizi successivi. Possono essere iscritte nelle voci di ratei e risconti solamente le quote di costi e proventi, comuni a due o più esercizi, l’entità dei quali varia in ragione del tempo.</w:t>
      </w:r>
    </w:p>
    <w:p w14:paraId="14B1D756"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Nel contesto universitario sono considerati anche i ratei attivi e risconti passivi per progetti e ricerche in corso. In tali voci sono iscritti i valori riferiti alle singole commesse e progetti di ricerca di durata pluriennale per la differenza tra i ricavi rilevati e i costi sostenuti. Qualora il valore dei ricavi ecceda quello dei costi viene iscritto in bilancio un risconto passivo, mentre nei casi in cui il valore dei ricavi risulti inferiore al costo viene iscritto in bilancio un rateo attivo.</w:t>
      </w:r>
    </w:p>
    <w:p w14:paraId="059EA91B"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Per le commesse annuali la valutazione avviene al costo. Per le commesse pluriennali la valutazione, a scelta dell’Ateneo, può avvenire al costo o in base allo stato di avanzamento lavori. La scelta deve essere univoca per tutti i progetti/ricerche dell’Ateneo.</w:t>
      </w:r>
    </w:p>
    <w:p w14:paraId="32CA2064"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La valutazione dei progetti è stata effettuata al costo, ovvero secondo il metodo della “commessa completata” che prevede il riconoscimento del risultato economico della commessa solo quando il progetto è concluso. Tale criterio comporta che durante la vita del progetto i ricavi riconosciuti siano pari ai costi sostenuti o siano in proporzione ai costi sostenuti se il progetto è co-finanziato.</w:t>
      </w:r>
    </w:p>
    <w:p w14:paraId="0F495CEB"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Tra i risconti passivi assumono peculiare rilievo quelli relativi ai contributi agli investimenti (ossia contributi in conto capitale per beni ad utilizzo pluriennale che perdono valore nel corso del tempo), quelli relativi ai proventi per tasse e contributi dovuti dagli studenti iscritti per l’anno accademico in corso alla data di chiusura dell’esercizio e quelli inerenti i proventi per il finanziamento di borse e i contratti pluriennali (ad esempio, borse di dottorato, assegni di ricerca, ecc.).</w:t>
      </w:r>
    </w:p>
    <w:p w14:paraId="0C7E6CE1" w14:textId="77777777" w:rsidR="004B4584" w:rsidRPr="006B7681" w:rsidRDefault="004B4584" w:rsidP="004B4584">
      <w:pPr>
        <w:pStyle w:val="Corpotesto"/>
        <w:rPr>
          <w:color w:val="FF0000"/>
          <w:sz w:val="28"/>
          <w:lang w:val="it-IT"/>
        </w:rPr>
      </w:pPr>
    </w:p>
    <w:p w14:paraId="6923AE7B" w14:textId="77777777" w:rsidR="004B4584" w:rsidRPr="006B7681" w:rsidRDefault="008746FF" w:rsidP="004B4584">
      <w:pPr>
        <w:pStyle w:val="Corpotesto"/>
        <w:spacing w:before="215"/>
        <w:ind w:left="567"/>
        <w:jc w:val="center"/>
        <w:rPr>
          <w:rFonts w:ascii="Verdana" w:hAnsi="Verdana"/>
          <w:lang w:val="it-IT"/>
        </w:rPr>
      </w:pPr>
      <w:r>
        <w:rPr>
          <w:rFonts w:ascii="Verdana" w:hAnsi="Verdana"/>
          <w:noProof/>
          <w:lang w:val="it-IT" w:eastAsia="it-IT"/>
        </w:rPr>
        <w:lastRenderedPageBreak/>
        <mc:AlternateContent>
          <mc:Choice Requires="wps">
            <w:drawing>
              <wp:anchor distT="4294967295" distB="4294967295" distL="0" distR="0" simplePos="0" relativeHeight="251677696" behindDoc="1" locked="0" layoutInCell="1" allowOverlap="1" wp14:anchorId="607C59CF" wp14:editId="1D8E4E91">
                <wp:simplePos x="0" y="0"/>
                <wp:positionH relativeFrom="page">
                  <wp:posOffset>773430</wp:posOffset>
                </wp:positionH>
                <wp:positionV relativeFrom="paragraph">
                  <wp:posOffset>340994</wp:posOffset>
                </wp:positionV>
                <wp:extent cx="6172835" cy="0"/>
                <wp:effectExtent l="0" t="0" r="18415" b="19050"/>
                <wp:wrapTopAndBottom/>
                <wp:docPr id="13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7FD46" id="Line 106" o:spid="_x0000_s1026" style="position:absolute;z-index:-2516387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85pt" to="546.9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" strokecolor="#962e27" strokeweight=".16925mm">
                <v:stroke dashstyle="dash"/>
                <w10:wrap type="topAndBottom" anchorx="page"/>
              </v:line>
            </w:pict>
          </mc:Fallback>
        </mc:AlternateContent>
      </w:r>
      <w:r w:rsidR="004B4584" w:rsidRPr="006B7681">
        <w:rPr>
          <w:rFonts w:ascii="Verdana" w:hAnsi="Verdana"/>
          <w:lang w:val="it-IT"/>
        </w:rPr>
        <w:t>PATRIMONIO NETTO</w:t>
      </w:r>
    </w:p>
    <w:p w14:paraId="18E98E1C" w14:textId="23A472FF"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Gli schemi di Bilancio presenti nel D.I. n. 248/16, cosi come previsto nel D.I. n. </w:t>
      </w:r>
      <w:r w:rsidR="001006E9">
        <w:rPr>
          <w:rFonts w:ascii="Verdana" w:hAnsi="Verdana"/>
          <w:lang w:val="it-IT"/>
        </w:rPr>
        <w:t>34</w:t>
      </w:r>
      <w:r w:rsidRPr="006B7681">
        <w:rPr>
          <w:rFonts w:ascii="Verdana" w:hAnsi="Verdana"/>
          <w:lang w:val="it-IT"/>
        </w:rPr>
        <w:t xml:space="preserve"> del 1</w:t>
      </w:r>
      <w:r w:rsidR="001006E9">
        <w:rPr>
          <w:rFonts w:ascii="Verdana" w:hAnsi="Verdana"/>
          <w:lang w:val="it-IT"/>
        </w:rPr>
        <w:t>5</w:t>
      </w:r>
      <w:r w:rsidRPr="006B7681">
        <w:rPr>
          <w:rFonts w:ascii="Verdana" w:hAnsi="Verdana"/>
          <w:lang w:val="it-IT"/>
        </w:rPr>
        <w:t xml:space="preserve"> gennaio 20</w:t>
      </w:r>
      <w:r w:rsidR="001006E9">
        <w:rPr>
          <w:rFonts w:ascii="Verdana" w:hAnsi="Verdana"/>
          <w:lang w:val="it-IT"/>
        </w:rPr>
        <w:t>25</w:t>
      </w:r>
      <w:r w:rsidRPr="006B7681">
        <w:rPr>
          <w:rFonts w:ascii="Verdana" w:hAnsi="Verdana"/>
          <w:lang w:val="it-IT"/>
        </w:rPr>
        <w:t>, prevedono che il Patrimonio Netto dell’Ateneo si articoli in:</w:t>
      </w:r>
    </w:p>
    <w:p w14:paraId="52FD9173" w14:textId="77777777" w:rsidR="004B4584" w:rsidRPr="006B7681" w:rsidRDefault="004B4584" w:rsidP="004B4584">
      <w:pPr>
        <w:pStyle w:val="Corpotesto"/>
        <w:numPr>
          <w:ilvl w:val="0"/>
          <w:numId w:val="4"/>
        </w:numPr>
        <w:spacing w:before="167" w:line="360" w:lineRule="auto"/>
        <w:ind w:right="125"/>
        <w:jc w:val="both"/>
        <w:rPr>
          <w:rFonts w:ascii="Verdana" w:hAnsi="Verdana"/>
          <w:lang w:val="it-IT"/>
        </w:rPr>
      </w:pPr>
      <w:r w:rsidRPr="006B7681">
        <w:rPr>
          <w:rFonts w:ascii="Verdana" w:hAnsi="Verdana"/>
          <w:lang w:val="it-IT"/>
        </w:rPr>
        <w:t>Fondo di dotazione vincolato o non vincolato in funzione delle indicazioni statutarie;</w:t>
      </w:r>
    </w:p>
    <w:p w14:paraId="64C1DB57" w14:textId="77777777" w:rsidR="004B4584" w:rsidRPr="006B7681" w:rsidRDefault="004B4584" w:rsidP="004B4584">
      <w:pPr>
        <w:pStyle w:val="Corpotesto"/>
        <w:numPr>
          <w:ilvl w:val="0"/>
          <w:numId w:val="4"/>
        </w:numPr>
        <w:spacing w:before="167" w:line="360" w:lineRule="auto"/>
        <w:ind w:right="125"/>
        <w:jc w:val="both"/>
        <w:rPr>
          <w:rFonts w:ascii="Verdana" w:hAnsi="Verdana"/>
          <w:lang w:val="it-IT"/>
        </w:rPr>
      </w:pPr>
      <w:r w:rsidRPr="006B7681">
        <w:rPr>
          <w:rFonts w:ascii="Verdana" w:hAnsi="Verdana"/>
          <w:lang w:val="it-IT"/>
        </w:rPr>
        <w:t>Patrimonio vincolato composto da fondi, riserve e contributi in conto capitale vincolati per scelte operate da terzi donatori;</w:t>
      </w:r>
    </w:p>
    <w:p w14:paraId="7C088E64" w14:textId="77777777" w:rsidR="004B4584" w:rsidRPr="006B7681" w:rsidRDefault="004B4584" w:rsidP="004B4584">
      <w:pPr>
        <w:pStyle w:val="Corpotesto"/>
        <w:numPr>
          <w:ilvl w:val="0"/>
          <w:numId w:val="4"/>
        </w:numPr>
        <w:spacing w:before="167" w:line="360" w:lineRule="auto"/>
        <w:ind w:right="125"/>
        <w:jc w:val="both"/>
        <w:rPr>
          <w:rFonts w:ascii="Verdana" w:hAnsi="Verdana"/>
          <w:lang w:val="it-IT"/>
        </w:rPr>
      </w:pPr>
      <w:r w:rsidRPr="006B7681">
        <w:rPr>
          <w:rFonts w:ascii="Verdana" w:hAnsi="Verdana"/>
          <w:lang w:val="it-IT"/>
        </w:rPr>
        <w:t>Patrimonio non vincolato composto da riserve derivanti da risultati gestionali realizzati, relativi all’esercizio e agli esercizi precedenti, nonché dalle riserve statutarie.</w:t>
      </w:r>
    </w:p>
    <w:p w14:paraId="6F4B80D8" w14:textId="21FB7755" w:rsidR="00705F8F" w:rsidRPr="006E7057" w:rsidRDefault="004B4584" w:rsidP="004B4584">
      <w:pPr>
        <w:pStyle w:val="Corpotesto"/>
        <w:spacing w:before="167" w:line="360" w:lineRule="auto"/>
        <w:ind w:left="527" w:right="125"/>
        <w:jc w:val="both"/>
        <w:rPr>
          <w:rFonts w:ascii="Verdana" w:hAnsi="Verdana"/>
          <w:lang w:val="it-IT"/>
        </w:rPr>
      </w:pPr>
      <w:r w:rsidRPr="006E7057">
        <w:rPr>
          <w:rFonts w:ascii="Verdana" w:hAnsi="Verdana"/>
          <w:lang w:val="it-IT"/>
        </w:rPr>
        <w:t>Nel Patrimonio Netto consolidato non viene evidenziata la quota di Patrimonio Netto di ter</w:t>
      </w:r>
      <w:r w:rsidR="000429C5" w:rsidRPr="006E7057">
        <w:rPr>
          <w:rFonts w:ascii="Verdana" w:hAnsi="Verdana"/>
          <w:lang w:val="it-IT"/>
        </w:rPr>
        <w:t>zi</w:t>
      </w:r>
      <w:r w:rsidRPr="006E7057">
        <w:rPr>
          <w:rFonts w:ascii="Verdana" w:hAnsi="Verdana"/>
          <w:lang w:val="it-IT"/>
        </w:rPr>
        <w:t xml:space="preserve"> in quanto la partecipata Fondazione UNIMI</w:t>
      </w:r>
      <w:r w:rsidR="007F2047" w:rsidRPr="006E7057">
        <w:rPr>
          <w:rFonts w:ascii="Verdana" w:hAnsi="Verdana"/>
          <w:lang w:val="it-IT"/>
        </w:rPr>
        <w:t xml:space="preserve"> </w:t>
      </w:r>
      <w:r w:rsidR="00705F8F" w:rsidRPr="006E7057">
        <w:rPr>
          <w:rFonts w:ascii="Verdana" w:hAnsi="Verdana"/>
          <w:lang w:val="it-IT"/>
        </w:rPr>
        <w:t>risulta titolare, al 31 dicembre 202</w:t>
      </w:r>
      <w:r w:rsidR="00532883">
        <w:rPr>
          <w:rFonts w:ascii="Verdana" w:hAnsi="Verdana"/>
          <w:lang w:val="it-IT"/>
        </w:rPr>
        <w:t>4</w:t>
      </w:r>
      <w:r w:rsidR="00705F8F" w:rsidRPr="003968AB">
        <w:rPr>
          <w:rFonts w:ascii="Verdana" w:hAnsi="Verdana"/>
          <w:lang w:val="it-IT"/>
        </w:rPr>
        <w:t xml:space="preserve">, </w:t>
      </w:r>
      <w:r w:rsidR="00E51206" w:rsidRPr="003968AB">
        <w:rPr>
          <w:rFonts w:ascii="Verdana" w:hAnsi="Verdana"/>
          <w:lang w:val="it-IT"/>
        </w:rPr>
        <w:t xml:space="preserve">unicamente della </w:t>
      </w:r>
      <w:r w:rsidR="00705F8F" w:rsidRPr="003968AB">
        <w:rPr>
          <w:rFonts w:ascii="Verdana" w:hAnsi="Verdana"/>
          <w:lang w:val="it-IT"/>
        </w:rPr>
        <w:t>partecipazione societaria</w:t>
      </w:r>
      <w:r w:rsidR="00E51206" w:rsidRPr="003968AB">
        <w:rPr>
          <w:rFonts w:ascii="Verdana" w:hAnsi="Verdana"/>
          <w:lang w:val="it-IT"/>
        </w:rPr>
        <w:t xml:space="preserve"> in Tensive </w:t>
      </w:r>
      <w:proofErr w:type="spellStart"/>
      <w:r w:rsidR="00E51206" w:rsidRPr="003968AB">
        <w:rPr>
          <w:rFonts w:ascii="Verdana" w:hAnsi="Verdana"/>
          <w:lang w:val="it-IT"/>
        </w:rPr>
        <w:t>srl</w:t>
      </w:r>
      <w:proofErr w:type="spellEnd"/>
      <w:r w:rsidR="00E51206" w:rsidRPr="003968AB">
        <w:rPr>
          <w:rFonts w:ascii="Verdana" w:hAnsi="Verdana"/>
          <w:lang w:val="it-IT"/>
        </w:rPr>
        <w:t xml:space="preserve"> pari al </w:t>
      </w:r>
      <w:r w:rsidR="003968AB" w:rsidRPr="003968AB">
        <w:rPr>
          <w:rFonts w:ascii="Verdana" w:hAnsi="Verdana"/>
          <w:lang w:val="it-IT"/>
        </w:rPr>
        <w:t>4</w:t>
      </w:r>
      <w:r w:rsidR="00E51206" w:rsidRPr="003968AB">
        <w:rPr>
          <w:rFonts w:ascii="Verdana" w:hAnsi="Verdana"/>
          <w:lang w:val="it-IT"/>
        </w:rPr>
        <w:t>,8</w:t>
      </w:r>
      <w:r w:rsidR="003968AB" w:rsidRPr="003968AB">
        <w:rPr>
          <w:rFonts w:ascii="Verdana" w:hAnsi="Verdana"/>
          <w:lang w:val="it-IT"/>
        </w:rPr>
        <w:t>2</w:t>
      </w:r>
      <w:r w:rsidR="00E51206" w:rsidRPr="003968AB">
        <w:rPr>
          <w:rFonts w:ascii="Verdana" w:hAnsi="Verdana"/>
          <w:lang w:val="it-IT"/>
        </w:rPr>
        <w:t>%</w:t>
      </w:r>
      <w:r w:rsidR="00705F8F" w:rsidRPr="003968AB">
        <w:rPr>
          <w:rFonts w:ascii="Verdana" w:hAnsi="Verdana"/>
          <w:lang w:val="it-IT"/>
        </w:rPr>
        <w:t>.</w:t>
      </w:r>
    </w:p>
    <w:p w14:paraId="3E9ADBAD" w14:textId="77777777" w:rsidR="004B4584" w:rsidRPr="006B7681" w:rsidRDefault="004B4584" w:rsidP="004B4584">
      <w:pPr>
        <w:pStyle w:val="Corpotesto"/>
        <w:spacing w:before="167" w:line="360" w:lineRule="auto"/>
        <w:ind w:left="527" w:right="125"/>
        <w:jc w:val="both"/>
        <w:rPr>
          <w:rFonts w:ascii="Verdana" w:hAnsi="Verdana"/>
          <w:lang w:val="it-IT"/>
        </w:rPr>
        <w:sectPr w:rsidR="004B4584" w:rsidRPr="006B7681">
          <w:headerReference w:type="default" r:id="rId16"/>
          <w:footerReference w:type="default" r:id="rId17"/>
          <w:pgSz w:w="11900" w:h="16840"/>
          <w:pgMar w:top="1340" w:right="860" w:bottom="940" w:left="720" w:header="0" w:footer="746" w:gutter="0"/>
          <w:pgNumType w:start="11"/>
          <w:cols w:space="720"/>
        </w:sectPr>
      </w:pPr>
    </w:p>
    <w:p w14:paraId="55EA4367" w14:textId="77777777" w:rsidR="004B4584" w:rsidRPr="006B7681" w:rsidRDefault="004B4584" w:rsidP="004B4584">
      <w:pPr>
        <w:pStyle w:val="Corpotesto"/>
        <w:rPr>
          <w:rFonts w:ascii="Arial-BoldItalicMT"/>
          <w:b/>
          <w:i/>
          <w:color w:val="FF0000"/>
          <w:sz w:val="27"/>
          <w:lang w:val="it-IT"/>
        </w:rPr>
      </w:pPr>
    </w:p>
    <w:p w14:paraId="1728B22B" w14:textId="77777777" w:rsidR="004B4584" w:rsidRPr="006B7681" w:rsidRDefault="008746FF" w:rsidP="004B4584">
      <w:pPr>
        <w:pStyle w:val="Corpotesto"/>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60288" behindDoc="0" locked="0" layoutInCell="1" allowOverlap="1" wp14:anchorId="7768C785" wp14:editId="09BB3806">
                <wp:simplePos x="0" y="0"/>
                <wp:positionH relativeFrom="page">
                  <wp:posOffset>773430</wp:posOffset>
                </wp:positionH>
                <wp:positionV relativeFrom="paragraph">
                  <wp:posOffset>203199</wp:posOffset>
                </wp:positionV>
                <wp:extent cx="6172835" cy="0"/>
                <wp:effectExtent l="0" t="0" r="18415" b="19050"/>
                <wp:wrapTopAndBottom/>
                <wp:docPr id="13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E23C9" id="Line 105"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6pt" to="546.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FONDI PER RISCHI E ONERI</w:t>
      </w:r>
    </w:p>
    <w:p w14:paraId="0F47D6BE"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fondi per rischi e oneri sono stanziati per coprire perdite o rischi aventi natura determinata, esistenza certa o probabile, dei quali tuttavia, alla data di chiusura dell’esercizio, non sono esattamente determinabili l’ammontare o la data di sopravvenienza. Gli stanziamenti riflettono la migliore stima possibile sulla base degli elementi a disposizione.</w:t>
      </w:r>
    </w:p>
    <w:p w14:paraId="5205F690" w14:textId="77777777" w:rsidR="004B4584" w:rsidRPr="006B7681" w:rsidRDefault="004B4584" w:rsidP="004B4584">
      <w:pPr>
        <w:pStyle w:val="Corpotesto"/>
        <w:rPr>
          <w:color w:val="FF0000"/>
          <w:sz w:val="28"/>
          <w:lang w:val="it-IT"/>
        </w:rPr>
      </w:pPr>
    </w:p>
    <w:p w14:paraId="49D0CD5A" w14:textId="77777777" w:rsidR="004B4584" w:rsidRPr="006B7681" w:rsidRDefault="008746FF" w:rsidP="004B4584">
      <w:pPr>
        <w:pStyle w:val="Corpotesto"/>
        <w:spacing w:before="216"/>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61312" behindDoc="0" locked="0" layoutInCell="1" allowOverlap="1" wp14:anchorId="6E60F7A6" wp14:editId="1909815C">
                <wp:simplePos x="0" y="0"/>
                <wp:positionH relativeFrom="page">
                  <wp:posOffset>773430</wp:posOffset>
                </wp:positionH>
                <wp:positionV relativeFrom="paragraph">
                  <wp:posOffset>339724</wp:posOffset>
                </wp:positionV>
                <wp:extent cx="6172835" cy="0"/>
                <wp:effectExtent l="0" t="0" r="18415" b="19050"/>
                <wp:wrapTopAndBottom/>
                <wp:docPr id="13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461AA" id="Line 104"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6.75pt" to="546.9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aCIg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TRATTAMENTO DI FINE RAPPORTO DI LAVORO SUBORDINATO</w:t>
      </w:r>
    </w:p>
    <w:p w14:paraId="6A62C3C5"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Tale voce di bilancio rappresenta l’effettivo debito per il trattamento di fine rapporto subordinato maturato e determinato in conformità alla legge ed ai contratti di lavoro vigenti. Per il rimanente personale dell’Ateneo, docenti e ricercatori, dirigenti e personale tecnico amministrativo, non si procede ad alcun accantonamento per il trattamento di fine rapporto di lavoro subordinato in quanto le contribuzioni sono versate direttamente all’ente previdenziale che alla cessazione del servizio provvederà a corrispondere al dipendente quanto dovuto.</w:t>
      </w:r>
    </w:p>
    <w:p w14:paraId="69FD40BE" w14:textId="77777777" w:rsidR="004B4584" w:rsidRPr="006B7681" w:rsidRDefault="004B4584" w:rsidP="004B4584">
      <w:pPr>
        <w:pStyle w:val="Corpotesto"/>
        <w:spacing w:before="1"/>
        <w:rPr>
          <w:color w:val="FF0000"/>
          <w:sz w:val="36"/>
          <w:lang w:val="it-IT"/>
        </w:rPr>
      </w:pPr>
    </w:p>
    <w:p w14:paraId="33A9B39B" w14:textId="77777777" w:rsidR="004B4584" w:rsidRPr="006B7681" w:rsidRDefault="008746FF" w:rsidP="004B4584">
      <w:pPr>
        <w:pStyle w:val="Corpotesto"/>
        <w:ind w:left="567"/>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62336" behindDoc="0" locked="0" layoutInCell="1" allowOverlap="1" wp14:anchorId="1CB4692F" wp14:editId="503403D8">
                <wp:simplePos x="0" y="0"/>
                <wp:positionH relativeFrom="page">
                  <wp:posOffset>773430</wp:posOffset>
                </wp:positionH>
                <wp:positionV relativeFrom="paragraph">
                  <wp:posOffset>204469</wp:posOffset>
                </wp:positionV>
                <wp:extent cx="6172835" cy="0"/>
                <wp:effectExtent l="0" t="0" r="18415" b="19050"/>
                <wp:wrapTopAndBottom/>
                <wp:docPr id="1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44B35" id="Line 103"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6.1pt" to="546.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OPERAZIONI FUORI BILANCIO</w:t>
      </w:r>
    </w:p>
    <w:p w14:paraId="105C2172"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soggetti inclusi nel Bilancio Consolidato non hanno adottato strumenti della cosiddetta “finanza derivata”, né ha</w:t>
      </w:r>
      <w:r w:rsidR="000429C5">
        <w:rPr>
          <w:rFonts w:ascii="Verdana" w:hAnsi="Verdana"/>
          <w:lang w:val="it-IT"/>
        </w:rPr>
        <w:t>nno</w:t>
      </w:r>
      <w:r w:rsidR="006E1F42">
        <w:rPr>
          <w:rFonts w:ascii="Verdana" w:hAnsi="Verdana"/>
          <w:lang w:val="it-IT"/>
        </w:rPr>
        <w:t xml:space="preserve"> posto in essere operazioni di</w:t>
      </w:r>
      <w:r w:rsidRPr="006B7681">
        <w:rPr>
          <w:rFonts w:ascii="Verdana" w:hAnsi="Verdana"/>
          <w:lang w:val="it-IT"/>
        </w:rPr>
        <w:t xml:space="preserve"> speculazione su tassi o su valute ovvero relative a valori mobiliari o altre operazioni similari giuridicamente perfezionate ma non ancora eseguite che comportino la nascita di diritti ed obblighi certi producenti attività e/o passività potenziali, non immediatamente iscrivibili nello Stato Patrimoniale.</w:t>
      </w:r>
    </w:p>
    <w:p w14:paraId="397BC79D" w14:textId="77777777" w:rsidR="004B4584" w:rsidRPr="006B7681" w:rsidRDefault="004B4584" w:rsidP="004B4584">
      <w:pPr>
        <w:pStyle w:val="Corpotesto"/>
        <w:spacing w:before="167" w:line="360" w:lineRule="auto"/>
        <w:ind w:left="527" w:right="125"/>
        <w:jc w:val="both"/>
        <w:rPr>
          <w:rFonts w:ascii="Verdana" w:hAnsi="Verdana"/>
          <w:lang w:val="it-IT"/>
        </w:rPr>
        <w:sectPr w:rsidR="004B4584" w:rsidRPr="006B7681">
          <w:headerReference w:type="default" r:id="rId18"/>
          <w:footerReference w:type="default" r:id="rId19"/>
          <w:pgSz w:w="11900" w:h="16840"/>
          <w:pgMar w:top="1460" w:right="860" w:bottom="940" w:left="720" w:header="0" w:footer="746" w:gutter="0"/>
          <w:pgNumType w:start="12"/>
          <w:cols w:space="720"/>
        </w:sectPr>
      </w:pPr>
    </w:p>
    <w:p w14:paraId="5CA5AA86" w14:textId="77777777" w:rsidR="004B4584" w:rsidRPr="006B7681" w:rsidRDefault="008746FF" w:rsidP="004B4584">
      <w:pPr>
        <w:pStyle w:val="Corpotesto"/>
        <w:spacing w:before="82"/>
        <w:ind w:left="567" w:right="114"/>
        <w:jc w:val="center"/>
        <w:rPr>
          <w:rFonts w:ascii="Verdana" w:hAnsi="Verdana"/>
          <w:lang w:val="it-IT"/>
        </w:rPr>
      </w:pPr>
      <w:r>
        <w:rPr>
          <w:rFonts w:ascii="Verdana" w:hAnsi="Verdana"/>
          <w:noProof/>
          <w:lang w:val="it-IT" w:eastAsia="it-IT"/>
        </w:rPr>
        <w:lastRenderedPageBreak/>
        <mc:AlternateContent>
          <mc:Choice Requires="wps">
            <w:drawing>
              <wp:anchor distT="4294967295" distB="4294967295" distL="0" distR="0" simplePos="0" relativeHeight="251663360" behindDoc="0" locked="0" layoutInCell="1" allowOverlap="1" wp14:anchorId="76845227" wp14:editId="4D509675">
                <wp:simplePos x="0" y="0"/>
                <wp:positionH relativeFrom="page">
                  <wp:posOffset>773430</wp:posOffset>
                </wp:positionH>
                <wp:positionV relativeFrom="paragraph">
                  <wp:posOffset>254634</wp:posOffset>
                </wp:positionV>
                <wp:extent cx="6172835" cy="0"/>
                <wp:effectExtent l="0" t="0" r="18415" b="19050"/>
                <wp:wrapTopAndBottom/>
                <wp:docPr id="13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FF222" id="Line 102"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0.05pt" to="546.9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" strokecolor="#962e27" strokeweight=".16925mm">
                <v:stroke dashstyle="dash"/>
                <w10:wrap type="topAndBottom" anchorx="page"/>
              </v:line>
            </w:pict>
          </mc:Fallback>
        </mc:AlternateContent>
      </w:r>
      <w:r w:rsidR="004B4584" w:rsidRPr="006B7681">
        <w:rPr>
          <w:rFonts w:ascii="Verdana" w:hAnsi="Verdana"/>
          <w:lang w:val="it-IT"/>
        </w:rPr>
        <w:t>COSTI E RICAVI</w:t>
      </w:r>
    </w:p>
    <w:p w14:paraId="5A8BC460"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costi e i ricavi sono esposti in bilancio secondo il principio della competenza economica e della prudenza.</w:t>
      </w:r>
    </w:p>
    <w:p w14:paraId="3EF96DB8"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ricavi ed i proventi, i costi e gli oneri relativi ad operazioni in valuta sono determinati al cambio corrente alla data nella quale la relativa operazione è compiuta.</w:t>
      </w:r>
    </w:p>
    <w:p w14:paraId="01F2F354"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I ricavi per contributi in conto esercizio sono correlati ai costi sostenuti per l’attività a fronte della quale è stato ottenuto il singolo contributo.</w:t>
      </w:r>
    </w:p>
    <w:p w14:paraId="606D9BEE"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Le tasse e contributi universitari dovuti dagli studenti sono rilevati per competenza economica.</w:t>
      </w:r>
    </w:p>
    <w:p w14:paraId="6803DF10" w14:textId="77777777" w:rsidR="004B4584" w:rsidRPr="006B7681" w:rsidRDefault="004B4584" w:rsidP="004B4584">
      <w:pPr>
        <w:pStyle w:val="Corpotesto"/>
        <w:rPr>
          <w:color w:val="FF0000"/>
          <w:sz w:val="28"/>
          <w:lang w:val="it-IT"/>
        </w:rPr>
      </w:pPr>
    </w:p>
    <w:p w14:paraId="77916557" w14:textId="77777777" w:rsidR="004B4584" w:rsidRPr="006B7681" w:rsidRDefault="004B4584" w:rsidP="004B4584">
      <w:pPr>
        <w:pStyle w:val="Corpotesto"/>
        <w:rPr>
          <w:color w:val="FF0000"/>
          <w:sz w:val="28"/>
          <w:lang w:val="it-IT"/>
        </w:rPr>
      </w:pPr>
    </w:p>
    <w:p w14:paraId="1FE9B677" w14:textId="77777777" w:rsidR="004B4584" w:rsidRPr="006B7681" w:rsidRDefault="004B4584" w:rsidP="004B4584">
      <w:pPr>
        <w:pStyle w:val="Corpotesto"/>
        <w:rPr>
          <w:color w:val="FF0000"/>
          <w:sz w:val="31"/>
          <w:lang w:val="it-IT"/>
        </w:rPr>
      </w:pPr>
    </w:p>
    <w:p w14:paraId="6409B072" w14:textId="77777777" w:rsidR="004B4584" w:rsidRPr="006B7681" w:rsidRDefault="008746FF" w:rsidP="004B4584">
      <w:pPr>
        <w:pStyle w:val="Titolo4"/>
        <w:jc w:val="center"/>
        <w:rPr>
          <w:rFonts w:ascii="Verdana" w:hAnsi="Verdana"/>
          <w:b/>
          <w:lang w:val="it-IT"/>
        </w:rPr>
      </w:pPr>
      <w:r>
        <w:rPr>
          <w:rFonts w:ascii="Verdana" w:hAnsi="Verdana"/>
          <w:b/>
          <w:noProof/>
          <w:lang w:val="it-IT" w:eastAsia="it-IT"/>
        </w:rPr>
        <mc:AlternateContent>
          <mc:Choice Requires="wps">
            <w:drawing>
              <wp:anchor distT="4294967295" distB="4294967295" distL="0" distR="0" simplePos="0" relativeHeight="251664384" behindDoc="0" locked="0" layoutInCell="1" allowOverlap="1" wp14:anchorId="27A8DCC0" wp14:editId="142967DA">
                <wp:simplePos x="0" y="0"/>
                <wp:positionH relativeFrom="page">
                  <wp:posOffset>773430</wp:posOffset>
                </wp:positionH>
                <wp:positionV relativeFrom="paragraph">
                  <wp:posOffset>236854</wp:posOffset>
                </wp:positionV>
                <wp:extent cx="6172835" cy="0"/>
                <wp:effectExtent l="0" t="0" r="37465" b="19050"/>
                <wp:wrapTopAndBottom/>
                <wp:docPr id="13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6">
                          <a:solidFill>
                            <a:srgbClr val="5D2A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42D3B" id="Line 101" o:spid="_x0000_s1026" style="position:absolute;z-index:2516643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8.65pt" to="546.9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" strokecolor="#5d2a24" strokeweight=".48pt">
                <w10:wrap type="topAndBottom" anchorx="page"/>
              </v:line>
            </w:pict>
          </mc:Fallback>
        </mc:AlternateContent>
      </w:r>
      <w:r w:rsidR="00C56265">
        <w:rPr>
          <w:rFonts w:ascii="Verdana" w:hAnsi="Verdana"/>
          <w:b/>
          <w:lang w:val="it-IT"/>
        </w:rPr>
        <w:t xml:space="preserve">MODALITA’ DI CONSOLIDAMENTO </w:t>
      </w:r>
    </w:p>
    <w:p w14:paraId="62C2EE9D"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 xml:space="preserve">Il Decreto </w:t>
      </w:r>
      <w:r w:rsidR="00C56265">
        <w:rPr>
          <w:rFonts w:ascii="Verdana" w:hAnsi="Verdana"/>
          <w:lang w:val="it-IT"/>
        </w:rPr>
        <w:t xml:space="preserve">Interministeriale </w:t>
      </w:r>
      <w:r w:rsidRPr="006B7681">
        <w:rPr>
          <w:rFonts w:ascii="Verdana" w:hAnsi="Verdana"/>
          <w:lang w:val="it-IT"/>
        </w:rPr>
        <w:t xml:space="preserve">248/2016 </w:t>
      </w:r>
      <w:r w:rsidR="00C56265">
        <w:rPr>
          <w:rFonts w:ascii="Verdana" w:hAnsi="Verdana"/>
          <w:lang w:val="it-IT"/>
        </w:rPr>
        <w:t>disciplinante</w:t>
      </w:r>
      <w:r w:rsidRPr="006B7681">
        <w:rPr>
          <w:rFonts w:ascii="Verdana" w:hAnsi="Verdana"/>
          <w:lang w:val="it-IT"/>
        </w:rPr>
        <w:t xml:space="preserve"> la redazione del Bilancio Consolidato rimanda ai principi contabili emanati dall’OIC</w:t>
      </w:r>
      <w:r w:rsidR="00C56265">
        <w:rPr>
          <w:rFonts w:ascii="Verdana" w:hAnsi="Verdana"/>
          <w:lang w:val="it-IT"/>
        </w:rPr>
        <w:t>. Il metodo di consolidamento adottato è quello “integrale” per il quale si è proceduto a:</w:t>
      </w:r>
    </w:p>
    <w:p w14:paraId="6B48D7C5" w14:textId="77777777" w:rsidR="004B4584" w:rsidRPr="006B7681" w:rsidRDefault="004E0896" w:rsidP="004B4584">
      <w:pPr>
        <w:pStyle w:val="Corpotesto"/>
        <w:numPr>
          <w:ilvl w:val="0"/>
          <w:numId w:val="5"/>
        </w:numPr>
        <w:spacing w:before="167" w:line="360" w:lineRule="auto"/>
        <w:ind w:right="125"/>
        <w:jc w:val="both"/>
        <w:rPr>
          <w:rFonts w:ascii="Verdana" w:hAnsi="Verdana"/>
          <w:lang w:val="it-IT"/>
        </w:rPr>
      </w:pPr>
      <w:r w:rsidRPr="006B7681">
        <w:rPr>
          <w:rFonts w:ascii="Verdana" w:hAnsi="Verdana"/>
          <w:lang w:val="it-IT"/>
        </w:rPr>
        <w:t xml:space="preserve">aggregare le </w:t>
      </w:r>
      <w:r w:rsidR="004B4584" w:rsidRPr="006B7681">
        <w:rPr>
          <w:rFonts w:ascii="Verdana" w:hAnsi="Verdana"/>
          <w:lang w:val="it-IT"/>
        </w:rPr>
        <w:t xml:space="preserve">componenti del conto economico della Capogruppo con le corrispondenti </w:t>
      </w:r>
      <w:r w:rsidRPr="006B7681">
        <w:rPr>
          <w:rFonts w:ascii="Verdana" w:hAnsi="Verdana"/>
          <w:lang w:val="it-IT"/>
        </w:rPr>
        <w:t>poste contabili</w:t>
      </w:r>
      <w:r w:rsidR="004B4584" w:rsidRPr="006B7681">
        <w:rPr>
          <w:rFonts w:ascii="Verdana" w:hAnsi="Verdana"/>
          <w:lang w:val="it-IT"/>
        </w:rPr>
        <w:t xml:space="preserve"> del conto economico delle controllate, armonizzando in prima istanza</w:t>
      </w:r>
      <w:r w:rsidRPr="006B7681">
        <w:rPr>
          <w:rFonts w:ascii="Verdana" w:hAnsi="Verdana"/>
          <w:lang w:val="it-IT"/>
        </w:rPr>
        <w:t>, se necessario,</w:t>
      </w:r>
      <w:r w:rsidR="004B4584" w:rsidRPr="006B7681">
        <w:rPr>
          <w:rFonts w:ascii="Verdana" w:hAnsi="Verdana"/>
          <w:lang w:val="it-IT"/>
        </w:rPr>
        <w:t xml:space="preserve"> i bilanci delle partecipate con quello della Controllante;</w:t>
      </w:r>
    </w:p>
    <w:p w14:paraId="648A9F7E" w14:textId="77777777" w:rsidR="004B4584" w:rsidRPr="006B7681" w:rsidRDefault="004B4584" w:rsidP="004B4584">
      <w:pPr>
        <w:pStyle w:val="Corpotesto"/>
        <w:numPr>
          <w:ilvl w:val="0"/>
          <w:numId w:val="5"/>
        </w:numPr>
        <w:spacing w:before="167" w:line="360" w:lineRule="auto"/>
        <w:ind w:right="125"/>
        <w:jc w:val="both"/>
        <w:rPr>
          <w:rFonts w:ascii="Verdana" w:hAnsi="Verdana"/>
          <w:lang w:val="it-IT"/>
        </w:rPr>
      </w:pPr>
      <w:r w:rsidRPr="006B7681">
        <w:rPr>
          <w:rFonts w:ascii="Verdana" w:hAnsi="Verdana"/>
          <w:lang w:val="it-IT"/>
        </w:rPr>
        <w:t>eli</w:t>
      </w:r>
      <w:r w:rsidR="006E1F42">
        <w:rPr>
          <w:rFonts w:ascii="Verdana" w:hAnsi="Verdana"/>
          <w:lang w:val="it-IT"/>
        </w:rPr>
        <w:t>dere</w:t>
      </w:r>
      <w:r w:rsidRPr="006B7681">
        <w:rPr>
          <w:rFonts w:ascii="Verdana" w:hAnsi="Verdana"/>
          <w:lang w:val="it-IT"/>
        </w:rPr>
        <w:t xml:space="preserve"> il valore della partecipazione nell’ente controlla</w:t>
      </w:r>
      <w:r w:rsidR="006E1F42">
        <w:rPr>
          <w:rFonts w:ascii="Verdana" w:hAnsi="Verdana"/>
          <w:lang w:val="it-IT"/>
        </w:rPr>
        <w:t>nte</w:t>
      </w:r>
      <w:r w:rsidRPr="006B7681">
        <w:rPr>
          <w:rFonts w:ascii="Verdana" w:hAnsi="Verdana"/>
          <w:lang w:val="it-IT"/>
        </w:rPr>
        <w:t xml:space="preserve"> e la corrispondente quota del capitale dell’ente controlla</w:t>
      </w:r>
      <w:r w:rsidR="006E1F42">
        <w:rPr>
          <w:rFonts w:ascii="Verdana" w:hAnsi="Verdana"/>
          <w:lang w:val="it-IT"/>
        </w:rPr>
        <w:t>to</w:t>
      </w:r>
      <w:r w:rsidRPr="006B7681">
        <w:rPr>
          <w:rFonts w:ascii="Verdana" w:hAnsi="Verdana"/>
          <w:lang w:val="it-IT"/>
        </w:rPr>
        <w:t>;</w:t>
      </w:r>
    </w:p>
    <w:p w14:paraId="35159996" w14:textId="77777777" w:rsidR="004B4584" w:rsidRPr="006B7681" w:rsidRDefault="004B4584" w:rsidP="004B4584">
      <w:pPr>
        <w:pStyle w:val="Corpotesto"/>
        <w:numPr>
          <w:ilvl w:val="0"/>
          <w:numId w:val="5"/>
        </w:numPr>
        <w:spacing w:before="167" w:line="360" w:lineRule="auto"/>
        <w:ind w:right="125"/>
        <w:jc w:val="both"/>
        <w:rPr>
          <w:rFonts w:ascii="Verdana" w:hAnsi="Verdana"/>
          <w:lang w:val="it-IT"/>
        </w:rPr>
      </w:pPr>
      <w:r w:rsidRPr="006B7681">
        <w:rPr>
          <w:rFonts w:ascii="Verdana" w:hAnsi="Verdana"/>
          <w:lang w:val="it-IT"/>
        </w:rPr>
        <w:t>eli</w:t>
      </w:r>
      <w:r w:rsidR="006E1F42">
        <w:rPr>
          <w:rFonts w:ascii="Verdana" w:hAnsi="Verdana"/>
          <w:lang w:val="it-IT"/>
        </w:rPr>
        <w:t>dere</w:t>
      </w:r>
      <w:r w:rsidRPr="006B7681">
        <w:rPr>
          <w:rFonts w:ascii="Verdana" w:hAnsi="Verdana"/>
          <w:lang w:val="it-IT"/>
        </w:rPr>
        <w:t xml:space="preserve"> gli elementi patrimoniali ed economici che hanno natura di reciprocità: così operando vengono valorizzati solo i saldi e le operazioni tra il gruppo ed i terzi.</w:t>
      </w:r>
    </w:p>
    <w:p w14:paraId="18B1F027" w14:textId="77777777" w:rsidR="004B4584" w:rsidRPr="006B7681" w:rsidRDefault="004B4584" w:rsidP="004B4584">
      <w:pPr>
        <w:pStyle w:val="Corpotesto"/>
        <w:spacing w:before="167" w:line="360" w:lineRule="auto"/>
        <w:ind w:left="1054" w:right="125"/>
        <w:jc w:val="both"/>
        <w:rPr>
          <w:sz w:val="20"/>
          <w:lang w:val="it-IT"/>
        </w:rPr>
      </w:pPr>
      <w:r w:rsidRPr="006B7681">
        <w:rPr>
          <w:rFonts w:ascii="Verdana" w:hAnsi="Verdana"/>
          <w:lang w:val="it-IT"/>
        </w:rPr>
        <w:t>Non si è proceduto invece a registrare separatamente l’eventuale quota di terzi presente nel risultato d’esercizio in quanto l’Ateneo partecipa al 100% al fondo di dotazione della partecipata.</w:t>
      </w:r>
    </w:p>
    <w:p w14:paraId="7D56C7C7" w14:textId="77777777" w:rsidR="004B4584" w:rsidRPr="006B7681" w:rsidRDefault="004B4584" w:rsidP="004B4584">
      <w:pPr>
        <w:pStyle w:val="Corpotesto"/>
        <w:spacing w:before="5"/>
        <w:rPr>
          <w:color w:val="FF0000"/>
          <w:lang w:val="it-IT"/>
        </w:rPr>
      </w:pPr>
    </w:p>
    <w:p w14:paraId="053B25AB" w14:textId="77777777" w:rsidR="004B4584" w:rsidRPr="006B7681" w:rsidRDefault="008746FF" w:rsidP="004B4584">
      <w:pPr>
        <w:pStyle w:val="Titolo4"/>
        <w:spacing w:before="101"/>
        <w:ind w:left="3591"/>
        <w:rPr>
          <w:rFonts w:ascii="Verdana" w:hAnsi="Verdana"/>
          <w:lang w:val="it-IT"/>
        </w:rPr>
      </w:pPr>
      <w:r>
        <w:rPr>
          <w:rFonts w:ascii="Verdana" w:hAnsi="Verdana"/>
          <w:noProof/>
          <w:lang w:val="it-IT" w:eastAsia="it-IT"/>
        </w:rPr>
        <w:lastRenderedPageBreak/>
        <mc:AlternateContent>
          <mc:Choice Requires="wps">
            <w:drawing>
              <wp:anchor distT="4294967295" distB="4294967295" distL="0" distR="0" simplePos="0" relativeHeight="251665408" behindDoc="0" locked="0" layoutInCell="1" allowOverlap="1" wp14:anchorId="1381CF38" wp14:editId="75F75395">
                <wp:simplePos x="0" y="0"/>
                <wp:positionH relativeFrom="page">
                  <wp:posOffset>773430</wp:posOffset>
                </wp:positionH>
                <wp:positionV relativeFrom="paragraph">
                  <wp:posOffset>300354</wp:posOffset>
                </wp:positionV>
                <wp:extent cx="6172835" cy="0"/>
                <wp:effectExtent l="0" t="0" r="37465" b="19050"/>
                <wp:wrapTopAndBottom/>
                <wp:docPr id="13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6">
                          <a:solidFill>
                            <a:srgbClr val="5D2A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B72B7"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23.65pt" to="546.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" strokecolor="#5d2a24" strokeweight=".48pt">
                <w10:wrap type="topAndBottom" anchorx="page"/>
              </v:line>
            </w:pict>
          </mc:Fallback>
        </mc:AlternateContent>
      </w:r>
      <w:r w:rsidR="004B4584" w:rsidRPr="006B7681">
        <w:rPr>
          <w:rFonts w:ascii="Verdana" w:hAnsi="Verdana"/>
          <w:lang w:val="it-IT"/>
        </w:rPr>
        <w:t>CONSOLIDAMENTO DEI DATI</w:t>
      </w:r>
    </w:p>
    <w:p w14:paraId="4920B4B6"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Si riportano sinteticamente i dati risultanti da</w:t>
      </w:r>
      <w:r w:rsidR="00F84E3C">
        <w:rPr>
          <w:rFonts w:ascii="Verdana" w:hAnsi="Verdana"/>
          <w:lang w:val="it-IT"/>
        </w:rPr>
        <w:t>l</w:t>
      </w:r>
      <w:r w:rsidRPr="006B7681">
        <w:rPr>
          <w:rFonts w:ascii="Verdana" w:hAnsi="Verdana"/>
          <w:lang w:val="it-IT"/>
        </w:rPr>
        <w:t xml:space="preserve"> bilanci</w:t>
      </w:r>
      <w:r w:rsidR="00F84E3C">
        <w:rPr>
          <w:rFonts w:ascii="Verdana" w:hAnsi="Verdana"/>
          <w:lang w:val="it-IT"/>
        </w:rPr>
        <w:t>o</w:t>
      </w:r>
      <w:r w:rsidRPr="006B7681">
        <w:rPr>
          <w:rFonts w:ascii="Verdana" w:hAnsi="Verdana"/>
          <w:lang w:val="it-IT"/>
        </w:rPr>
        <w:t xml:space="preserve"> de</w:t>
      </w:r>
      <w:r w:rsidR="00F84E3C">
        <w:rPr>
          <w:rFonts w:ascii="Verdana" w:hAnsi="Verdana"/>
          <w:lang w:val="it-IT"/>
        </w:rPr>
        <w:t>ll’ente</w:t>
      </w:r>
      <w:r w:rsidRPr="006B7681">
        <w:rPr>
          <w:rFonts w:ascii="Verdana" w:hAnsi="Verdana"/>
          <w:lang w:val="it-IT"/>
        </w:rPr>
        <w:t xml:space="preserve"> compres</w:t>
      </w:r>
      <w:r w:rsidR="00F84E3C">
        <w:rPr>
          <w:rFonts w:ascii="Verdana" w:hAnsi="Verdana"/>
          <w:lang w:val="it-IT"/>
        </w:rPr>
        <w:t>o</w:t>
      </w:r>
      <w:r w:rsidRPr="006B7681">
        <w:rPr>
          <w:rFonts w:ascii="Verdana" w:hAnsi="Verdana"/>
          <w:lang w:val="it-IT"/>
        </w:rPr>
        <w:t xml:space="preserve"> nell’Area di Consolidamento prima delle rettifiche e della loro riclassificazione.</w:t>
      </w:r>
    </w:p>
    <w:p w14:paraId="7C7571BF" w14:textId="77777777" w:rsidR="00E04502" w:rsidRDefault="00E04502" w:rsidP="004B4584">
      <w:pPr>
        <w:ind w:left="567" w:right="3603"/>
        <w:jc w:val="center"/>
        <w:rPr>
          <w:color w:val="FF0000"/>
          <w:lang w:val="it-IT"/>
        </w:rPr>
      </w:pPr>
    </w:p>
    <w:p w14:paraId="20301616" w14:textId="42ED9F01" w:rsidR="00652EFA" w:rsidRDefault="00E04502" w:rsidP="00652EFA">
      <w:pPr>
        <w:ind w:left="567" w:right="3603"/>
        <w:rPr>
          <w:color w:val="FF0000"/>
          <w:lang w:val="it-IT"/>
        </w:rPr>
      </w:pPr>
      <w:r w:rsidRPr="00E04502">
        <w:rPr>
          <w:noProof/>
        </w:rPr>
        <w:drawing>
          <wp:inline distT="0" distB="0" distL="0" distR="0" wp14:anchorId="3CB30E66" wp14:editId="70D56AE1">
            <wp:extent cx="6057900" cy="1770380"/>
            <wp:effectExtent l="0" t="0" r="0" b="127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57900" cy="1770380"/>
                    </a:xfrm>
                    <a:prstGeom prst="rect">
                      <a:avLst/>
                    </a:prstGeom>
                    <a:noFill/>
                    <a:ln>
                      <a:noFill/>
                    </a:ln>
                  </pic:spPr>
                </pic:pic>
              </a:graphicData>
            </a:graphic>
          </wp:inline>
        </w:drawing>
      </w:r>
    </w:p>
    <w:p w14:paraId="1CF2276F" w14:textId="77777777" w:rsidR="00E04502" w:rsidRDefault="00E04502" w:rsidP="00652EFA">
      <w:pPr>
        <w:ind w:left="567" w:right="3603"/>
        <w:rPr>
          <w:color w:val="FF0000"/>
          <w:lang w:val="it-IT"/>
        </w:rPr>
      </w:pPr>
    </w:p>
    <w:p w14:paraId="4A8B2D2F" w14:textId="77777777" w:rsidR="004B4584" w:rsidRPr="008D0F5F" w:rsidRDefault="004B4584" w:rsidP="004B4584">
      <w:pPr>
        <w:ind w:left="3984" w:right="3603"/>
        <w:jc w:val="center"/>
        <w:rPr>
          <w:color w:val="FF0000"/>
          <w:lang w:val="it-IT"/>
        </w:rPr>
      </w:pPr>
    </w:p>
    <w:p w14:paraId="58512F9A" w14:textId="77777777" w:rsidR="004B4584" w:rsidRPr="008D0F5F" w:rsidRDefault="004B4584" w:rsidP="004B4584">
      <w:pPr>
        <w:ind w:left="3984" w:right="3603"/>
        <w:jc w:val="center"/>
        <w:rPr>
          <w:color w:val="FF0000"/>
          <w:lang w:val="it-IT"/>
        </w:rPr>
      </w:pPr>
    </w:p>
    <w:p w14:paraId="3D9C0462" w14:textId="77777777" w:rsidR="004B4584" w:rsidRPr="006B7681" w:rsidRDefault="008746FF" w:rsidP="004B4584">
      <w:pPr>
        <w:ind w:left="567" w:right="114"/>
        <w:jc w:val="center"/>
        <w:rPr>
          <w:rFonts w:ascii="Verdana" w:hAnsi="Verdana"/>
          <w:lang w:val="it-IT"/>
        </w:rPr>
      </w:pPr>
      <w:r>
        <w:rPr>
          <w:rFonts w:ascii="Verdana" w:hAnsi="Verdana"/>
          <w:noProof/>
          <w:lang w:val="it-IT" w:eastAsia="it-IT"/>
        </w:rPr>
        <mc:AlternateContent>
          <mc:Choice Requires="wps">
            <w:drawing>
              <wp:anchor distT="4294967295" distB="4294967295" distL="0" distR="0" simplePos="0" relativeHeight="251666432" behindDoc="0" locked="0" layoutInCell="1" allowOverlap="1" wp14:anchorId="5B6F494B" wp14:editId="575BBA35">
                <wp:simplePos x="0" y="0"/>
                <wp:positionH relativeFrom="page">
                  <wp:posOffset>773430</wp:posOffset>
                </wp:positionH>
                <wp:positionV relativeFrom="paragraph">
                  <wp:posOffset>187324</wp:posOffset>
                </wp:positionV>
                <wp:extent cx="6172835" cy="0"/>
                <wp:effectExtent l="0" t="0" r="18415" b="19050"/>
                <wp:wrapTopAndBottom/>
                <wp:docPr id="13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093">
                          <a:solidFill>
                            <a:srgbClr val="962E27"/>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ECAD3" id="Line 99" o:spid="_x0000_s1026" style="position:absolute;z-index:2516664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9pt,14.75pt" to="546.9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" strokecolor="#962e27" strokeweight=".16925mm">
                <v:stroke dashstyle="dash"/>
                <w10:wrap type="topAndBottom" anchorx="page"/>
              </v:line>
            </w:pict>
          </mc:Fallback>
        </mc:AlternateContent>
      </w:r>
      <w:r w:rsidR="004B4584" w:rsidRPr="006B7681">
        <w:rPr>
          <w:rFonts w:ascii="Verdana" w:hAnsi="Verdana"/>
          <w:lang w:val="it-IT"/>
        </w:rPr>
        <w:t>OPERAZIONI INFRAGRUPPO</w:t>
      </w:r>
    </w:p>
    <w:p w14:paraId="2560EA7C"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Di seguito si riportano in sintesi le elisioni infragruppo registrate nel Bilancio Consolidato:</w:t>
      </w:r>
    </w:p>
    <w:p w14:paraId="12106A72" w14:textId="77777777" w:rsidR="004B4584" w:rsidRPr="006B7681" w:rsidRDefault="004B4584" w:rsidP="004B4584">
      <w:pPr>
        <w:pStyle w:val="Corpotesto"/>
        <w:numPr>
          <w:ilvl w:val="0"/>
          <w:numId w:val="7"/>
        </w:numPr>
        <w:spacing w:before="167" w:line="360" w:lineRule="auto"/>
        <w:ind w:right="125"/>
        <w:jc w:val="both"/>
        <w:rPr>
          <w:rFonts w:ascii="Verdana" w:hAnsi="Verdana"/>
          <w:lang w:val="it-IT"/>
        </w:rPr>
      </w:pPr>
      <w:r w:rsidRPr="006B7681">
        <w:rPr>
          <w:rFonts w:ascii="Verdana" w:hAnsi="Verdana"/>
          <w:lang w:val="it-IT"/>
        </w:rPr>
        <w:t>crediti della Fondazione UNIMI verso l’Ateneo: si tratta della contabilizzazione delle seguenti partite contabili:</w:t>
      </w:r>
    </w:p>
    <w:p w14:paraId="1AD05143" w14:textId="70743561" w:rsidR="00AB42CB" w:rsidRPr="00AB42CB" w:rsidRDefault="004B4584" w:rsidP="00687ABC">
      <w:pPr>
        <w:pStyle w:val="Corpotesto"/>
        <w:numPr>
          <w:ilvl w:val="0"/>
          <w:numId w:val="6"/>
        </w:numPr>
        <w:spacing w:before="167" w:line="360" w:lineRule="auto"/>
        <w:ind w:right="125"/>
        <w:jc w:val="both"/>
        <w:rPr>
          <w:rFonts w:ascii="Verdana" w:hAnsi="Verdana"/>
          <w:lang w:val="it-IT"/>
        </w:rPr>
      </w:pPr>
      <w:r w:rsidRPr="00AB42CB">
        <w:rPr>
          <w:rFonts w:ascii="Verdana" w:hAnsi="Verdana"/>
          <w:lang w:val="it-IT"/>
        </w:rPr>
        <w:t xml:space="preserve">€ </w:t>
      </w:r>
      <w:r w:rsidR="00532883">
        <w:rPr>
          <w:rFonts w:ascii="Verdana" w:hAnsi="Verdana"/>
          <w:lang w:val="it-IT"/>
        </w:rPr>
        <w:t>529.500</w:t>
      </w:r>
      <w:r w:rsidRPr="00AB42CB">
        <w:rPr>
          <w:rFonts w:ascii="Verdana" w:hAnsi="Verdana"/>
          <w:lang w:val="it-IT"/>
        </w:rPr>
        <w:t xml:space="preserve"> – corrispettiv</w:t>
      </w:r>
      <w:r w:rsidR="00AB42CB" w:rsidRPr="00AB42CB">
        <w:rPr>
          <w:rFonts w:ascii="Verdana" w:hAnsi="Verdana"/>
          <w:lang w:val="it-IT"/>
        </w:rPr>
        <w:t xml:space="preserve">i previsti </w:t>
      </w:r>
      <w:r w:rsidR="00826112">
        <w:rPr>
          <w:rFonts w:ascii="Verdana" w:hAnsi="Verdana"/>
          <w:lang w:val="it-IT"/>
        </w:rPr>
        <w:t>dal piano industriale che per l’esercizio 202</w:t>
      </w:r>
      <w:r w:rsidR="00532883">
        <w:rPr>
          <w:rFonts w:ascii="Verdana" w:hAnsi="Verdana"/>
          <w:lang w:val="it-IT"/>
        </w:rPr>
        <w:t>4</w:t>
      </w:r>
      <w:r w:rsidR="00826112">
        <w:rPr>
          <w:rFonts w:ascii="Verdana" w:hAnsi="Verdana"/>
          <w:lang w:val="it-IT"/>
        </w:rPr>
        <w:t xml:space="preserve"> include</w:t>
      </w:r>
      <w:r w:rsidR="00AB42CB" w:rsidRPr="00AB42CB">
        <w:rPr>
          <w:rFonts w:ascii="Verdana" w:hAnsi="Verdana"/>
          <w:lang w:val="it-IT"/>
        </w:rPr>
        <w:t xml:space="preserve"> le convenzioni Facility Management, Open Innovation</w:t>
      </w:r>
      <w:r w:rsidR="00532883">
        <w:rPr>
          <w:rFonts w:ascii="Verdana" w:hAnsi="Verdana"/>
          <w:lang w:val="it-IT"/>
        </w:rPr>
        <w:t xml:space="preserve"> e</w:t>
      </w:r>
      <w:r w:rsidR="00AB42CB" w:rsidRPr="00AB42CB">
        <w:rPr>
          <w:rFonts w:ascii="Verdana" w:hAnsi="Verdana"/>
          <w:lang w:val="it-IT"/>
        </w:rPr>
        <w:t xml:space="preserve"> Orchestra 202</w:t>
      </w:r>
      <w:r w:rsidR="00532883">
        <w:rPr>
          <w:rFonts w:ascii="Verdana" w:hAnsi="Verdana"/>
          <w:lang w:val="it-IT"/>
        </w:rPr>
        <w:t>4</w:t>
      </w:r>
      <w:r w:rsidR="00AB42CB" w:rsidRPr="00AB42CB">
        <w:rPr>
          <w:rFonts w:ascii="Verdana" w:hAnsi="Verdana"/>
          <w:lang w:val="it-IT"/>
        </w:rPr>
        <w:t>;</w:t>
      </w:r>
    </w:p>
    <w:p w14:paraId="4E66E3EA" w14:textId="43FE4C7A" w:rsidR="00826112" w:rsidRDefault="00826112" w:rsidP="004B4584">
      <w:pPr>
        <w:pStyle w:val="Corpotesto"/>
        <w:numPr>
          <w:ilvl w:val="0"/>
          <w:numId w:val="7"/>
        </w:numPr>
        <w:spacing w:before="167" w:line="360" w:lineRule="auto"/>
        <w:ind w:right="125"/>
        <w:jc w:val="both"/>
        <w:rPr>
          <w:rFonts w:ascii="Verdana" w:hAnsi="Verdana"/>
          <w:lang w:val="it-IT"/>
        </w:rPr>
      </w:pPr>
      <w:r>
        <w:rPr>
          <w:rFonts w:ascii="Verdana" w:hAnsi="Verdana"/>
          <w:lang w:val="it-IT"/>
        </w:rPr>
        <w:t>ricavi della Fondazione UNIMI verso l’Ateneo: si tratta della contabilizzazione delle seguenti partite contabili:</w:t>
      </w:r>
    </w:p>
    <w:p w14:paraId="226C88F7" w14:textId="13DE1A5D" w:rsidR="00220906" w:rsidRDefault="00266718" w:rsidP="00266718">
      <w:pPr>
        <w:pStyle w:val="Corpotesto"/>
        <w:numPr>
          <w:ilvl w:val="0"/>
          <w:numId w:val="8"/>
        </w:numPr>
        <w:spacing w:before="167" w:line="360" w:lineRule="auto"/>
        <w:ind w:left="1418" w:right="125"/>
        <w:jc w:val="both"/>
        <w:rPr>
          <w:rFonts w:ascii="Verdana" w:hAnsi="Verdana"/>
          <w:lang w:val="it-IT"/>
        </w:rPr>
      </w:pPr>
      <w:r w:rsidRPr="00AB42CB">
        <w:rPr>
          <w:rFonts w:ascii="Verdana" w:hAnsi="Verdana"/>
          <w:lang w:val="it-IT"/>
        </w:rPr>
        <w:t xml:space="preserve">€ </w:t>
      </w:r>
      <w:r>
        <w:rPr>
          <w:rFonts w:ascii="Verdana" w:hAnsi="Verdana"/>
          <w:lang w:val="it-IT"/>
        </w:rPr>
        <w:t>1.</w:t>
      </w:r>
      <w:r w:rsidR="00532883">
        <w:rPr>
          <w:rFonts w:ascii="Verdana" w:hAnsi="Verdana"/>
          <w:lang w:val="it-IT"/>
        </w:rPr>
        <w:t>059</w:t>
      </w:r>
      <w:r w:rsidRPr="00AB42CB">
        <w:rPr>
          <w:rFonts w:ascii="Verdana" w:hAnsi="Verdana"/>
          <w:lang w:val="it-IT"/>
        </w:rPr>
        <w:t>.</w:t>
      </w:r>
      <w:r>
        <w:rPr>
          <w:rFonts w:ascii="Verdana" w:hAnsi="Verdana"/>
          <w:lang w:val="it-IT"/>
        </w:rPr>
        <w:t>000</w:t>
      </w:r>
      <w:r w:rsidRPr="00AB42CB">
        <w:rPr>
          <w:rFonts w:ascii="Verdana" w:hAnsi="Verdana"/>
          <w:lang w:val="it-IT"/>
        </w:rPr>
        <w:t xml:space="preserve">,00 – corrispettivi previsti </w:t>
      </w:r>
      <w:r>
        <w:rPr>
          <w:rFonts w:ascii="Verdana" w:hAnsi="Verdana"/>
          <w:lang w:val="it-IT"/>
        </w:rPr>
        <w:t xml:space="preserve">dal piano industriale </w:t>
      </w:r>
      <w:r w:rsidR="00220906">
        <w:rPr>
          <w:rFonts w:ascii="Verdana" w:hAnsi="Verdana"/>
          <w:lang w:val="it-IT"/>
        </w:rPr>
        <w:t xml:space="preserve">di cui </w:t>
      </w:r>
    </w:p>
    <w:p w14:paraId="7FAD463D" w14:textId="1AD5EFB0" w:rsidR="00220906" w:rsidRDefault="00220906" w:rsidP="00220906">
      <w:pPr>
        <w:pStyle w:val="Corpotesto"/>
        <w:numPr>
          <w:ilvl w:val="1"/>
          <w:numId w:val="9"/>
        </w:numPr>
        <w:spacing w:before="167" w:line="360" w:lineRule="auto"/>
        <w:ind w:left="1701" w:right="125"/>
        <w:jc w:val="both"/>
        <w:rPr>
          <w:rFonts w:ascii="Verdana" w:hAnsi="Verdana"/>
          <w:lang w:val="it-IT"/>
        </w:rPr>
      </w:pPr>
      <w:r>
        <w:rPr>
          <w:rFonts w:ascii="Verdana" w:hAnsi="Verdana"/>
          <w:lang w:val="it-IT"/>
        </w:rPr>
        <w:t>€</w:t>
      </w:r>
      <w:r w:rsidR="00261F35">
        <w:rPr>
          <w:rFonts w:ascii="Verdana" w:hAnsi="Verdana"/>
          <w:lang w:val="it-IT"/>
        </w:rPr>
        <w:t xml:space="preserve"> </w:t>
      </w:r>
      <w:r w:rsidR="00532883">
        <w:rPr>
          <w:rFonts w:ascii="Verdana" w:hAnsi="Verdana"/>
          <w:lang w:val="it-IT"/>
        </w:rPr>
        <w:t>203</w:t>
      </w:r>
      <w:r>
        <w:rPr>
          <w:rFonts w:ascii="Verdana" w:hAnsi="Verdana"/>
          <w:lang w:val="it-IT"/>
        </w:rPr>
        <w:t xml:space="preserve">.000,00 per le attività relative alla </w:t>
      </w:r>
      <w:r w:rsidR="00266718" w:rsidRPr="00AB42CB">
        <w:rPr>
          <w:rFonts w:ascii="Verdana" w:hAnsi="Verdana"/>
          <w:lang w:val="it-IT"/>
        </w:rPr>
        <w:t>convenzion</w:t>
      </w:r>
      <w:r>
        <w:rPr>
          <w:rFonts w:ascii="Verdana" w:hAnsi="Verdana"/>
          <w:lang w:val="it-IT"/>
        </w:rPr>
        <w:t>e</w:t>
      </w:r>
      <w:r w:rsidR="00266718" w:rsidRPr="00AB42CB">
        <w:rPr>
          <w:rFonts w:ascii="Verdana" w:hAnsi="Verdana"/>
          <w:lang w:val="it-IT"/>
        </w:rPr>
        <w:t xml:space="preserve"> Facility Management</w:t>
      </w:r>
      <w:r>
        <w:rPr>
          <w:rFonts w:ascii="Verdana" w:hAnsi="Verdana"/>
          <w:lang w:val="it-IT"/>
        </w:rPr>
        <w:t>;</w:t>
      </w:r>
    </w:p>
    <w:p w14:paraId="1F520177" w14:textId="3D744239" w:rsidR="00220906" w:rsidRDefault="00220906" w:rsidP="00220906">
      <w:pPr>
        <w:pStyle w:val="Corpotesto"/>
        <w:numPr>
          <w:ilvl w:val="0"/>
          <w:numId w:val="10"/>
        </w:numPr>
        <w:spacing w:before="167" w:line="360" w:lineRule="auto"/>
        <w:ind w:left="1701" w:right="125"/>
        <w:jc w:val="both"/>
        <w:rPr>
          <w:rFonts w:ascii="Verdana" w:hAnsi="Verdana"/>
          <w:lang w:val="it-IT"/>
        </w:rPr>
      </w:pPr>
      <w:r>
        <w:rPr>
          <w:rFonts w:ascii="Verdana" w:hAnsi="Verdana"/>
          <w:lang w:val="it-IT"/>
        </w:rPr>
        <w:t>€ 7</w:t>
      </w:r>
      <w:r w:rsidR="00532883">
        <w:rPr>
          <w:rFonts w:ascii="Verdana" w:hAnsi="Verdana"/>
          <w:lang w:val="it-IT"/>
        </w:rPr>
        <w:t>26</w:t>
      </w:r>
      <w:r>
        <w:rPr>
          <w:rFonts w:ascii="Verdana" w:hAnsi="Verdana"/>
          <w:lang w:val="it-IT"/>
        </w:rPr>
        <w:t xml:space="preserve">.000,00 per le attività relative alla convenzione </w:t>
      </w:r>
      <w:r w:rsidR="00266718" w:rsidRPr="00AB42CB">
        <w:rPr>
          <w:rFonts w:ascii="Verdana" w:hAnsi="Verdana"/>
          <w:lang w:val="it-IT"/>
        </w:rPr>
        <w:t>Open Innovation</w:t>
      </w:r>
      <w:r>
        <w:rPr>
          <w:rFonts w:ascii="Verdana" w:hAnsi="Verdana"/>
          <w:lang w:val="it-IT"/>
        </w:rPr>
        <w:t>;</w:t>
      </w:r>
    </w:p>
    <w:p w14:paraId="697339B8" w14:textId="0E554A1F" w:rsidR="00266718" w:rsidRPr="00261F35" w:rsidRDefault="00220906" w:rsidP="00261F35">
      <w:pPr>
        <w:pStyle w:val="Corpotesto"/>
        <w:numPr>
          <w:ilvl w:val="0"/>
          <w:numId w:val="10"/>
        </w:numPr>
        <w:spacing w:before="167" w:line="360" w:lineRule="auto"/>
        <w:ind w:left="1843" w:right="125"/>
        <w:jc w:val="both"/>
        <w:rPr>
          <w:rFonts w:ascii="Verdana" w:hAnsi="Verdana"/>
          <w:lang w:val="it-IT"/>
        </w:rPr>
      </w:pPr>
      <w:r>
        <w:rPr>
          <w:rFonts w:ascii="Verdana" w:hAnsi="Verdana"/>
          <w:lang w:val="it-IT"/>
        </w:rPr>
        <w:t>€ 1</w:t>
      </w:r>
      <w:r w:rsidR="00532883">
        <w:rPr>
          <w:rFonts w:ascii="Verdana" w:hAnsi="Verdana"/>
          <w:lang w:val="it-IT"/>
        </w:rPr>
        <w:t>3</w:t>
      </w:r>
      <w:r>
        <w:rPr>
          <w:rFonts w:ascii="Verdana" w:hAnsi="Verdana"/>
          <w:lang w:val="it-IT"/>
        </w:rPr>
        <w:t>0.000,00 per le attività relative alla gestione del</w:t>
      </w:r>
      <w:r w:rsidR="00266718">
        <w:rPr>
          <w:rFonts w:ascii="Verdana" w:hAnsi="Verdana"/>
          <w:lang w:val="it-IT"/>
        </w:rPr>
        <w:t>l’</w:t>
      </w:r>
      <w:r w:rsidR="00266718" w:rsidRPr="00AB42CB">
        <w:rPr>
          <w:rFonts w:ascii="Verdana" w:hAnsi="Verdana"/>
          <w:lang w:val="it-IT"/>
        </w:rPr>
        <w:t>Orchestra 202</w:t>
      </w:r>
      <w:r w:rsidR="00532883">
        <w:rPr>
          <w:rFonts w:ascii="Verdana" w:hAnsi="Verdana"/>
          <w:lang w:val="it-IT"/>
        </w:rPr>
        <w:t>4</w:t>
      </w:r>
      <w:r w:rsidR="00261F35">
        <w:rPr>
          <w:rFonts w:ascii="Verdana" w:hAnsi="Verdana"/>
          <w:lang w:val="it-IT"/>
        </w:rPr>
        <w:t>.</w:t>
      </w:r>
    </w:p>
    <w:p w14:paraId="2527DB44" w14:textId="0C6922F7" w:rsidR="00E04502" w:rsidRDefault="00266718" w:rsidP="00913E83">
      <w:pPr>
        <w:pStyle w:val="Corpotesto"/>
        <w:numPr>
          <w:ilvl w:val="0"/>
          <w:numId w:val="8"/>
        </w:numPr>
        <w:spacing w:before="167" w:line="360" w:lineRule="auto"/>
        <w:ind w:left="1418" w:right="125"/>
        <w:jc w:val="both"/>
        <w:rPr>
          <w:rFonts w:ascii="Verdana" w:hAnsi="Verdana"/>
          <w:lang w:val="it-IT"/>
        </w:rPr>
      </w:pPr>
      <w:r>
        <w:rPr>
          <w:rFonts w:ascii="Verdana" w:hAnsi="Verdana"/>
          <w:lang w:val="it-IT"/>
        </w:rPr>
        <w:t xml:space="preserve">€ </w:t>
      </w:r>
      <w:r w:rsidR="00913E83">
        <w:rPr>
          <w:rFonts w:ascii="Verdana" w:hAnsi="Verdana"/>
          <w:lang w:val="it-IT"/>
        </w:rPr>
        <w:t>2</w:t>
      </w:r>
      <w:r w:rsidR="00E04502">
        <w:rPr>
          <w:rFonts w:ascii="Verdana" w:hAnsi="Verdana"/>
          <w:lang w:val="it-IT"/>
        </w:rPr>
        <w:t>33</w:t>
      </w:r>
      <w:r w:rsidR="00913E83">
        <w:rPr>
          <w:rFonts w:ascii="Verdana" w:hAnsi="Verdana"/>
          <w:lang w:val="it-IT"/>
        </w:rPr>
        <w:t>.</w:t>
      </w:r>
      <w:r w:rsidR="00E04502">
        <w:rPr>
          <w:rFonts w:ascii="Verdana" w:hAnsi="Verdana"/>
          <w:lang w:val="it-IT"/>
        </w:rPr>
        <w:t>358</w:t>
      </w:r>
      <w:r w:rsidR="00913E83">
        <w:rPr>
          <w:rFonts w:ascii="Verdana" w:hAnsi="Verdana"/>
          <w:lang w:val="it-IT"/>
        </w:rPr>
        <w:t>,00</w:t>
      </w:r>
      <w:r>
        <w:rPr>
          <w:rFonts w:ascii="Verdana" w:hAnsi="Verdana"/>
          <w:lang w:val="it-IT"/>
        </w:rPr>
        <w:t xml:space="preserve"> – corrispettivi per le attività della MI -SOM</w:t>
      </w:r>
      <w:r w:rsidR="00E04502" w:rsidRPr="00E04502">
        <w:rPr>
          <w:rFonts w:ascii="Verdana" w:hAnsi="Verdana"/>
          <w:lang w:val="it-IT"/>
        </w:rPr>
        <w:t xml:space="preserve"> </w:t>
      </w:r>
      <w:r w:rsidR="00E04502">
        <w:rPr>
          <w:rFonts w:ascii="Verdana" w:hAnsi="Verdana"/>
          <w:lang w:val="it-IT"/>
        </w:rPr>
        <w:t>e gestione del portafoglio brevetti dei dipartimenti;</w:t>
      </w:r>
    </w:p>
    <w:p w14:paraId="487D4DBC" w14:textId="0FA5B195" w:rsidR="00E04502" w:rsidRDefault="00E04502" w:rsidP="00913E83">
      <w:pPr>
        <w:pStyle w:val="Corpotesto"/>
        <w:numPr>
          <w:ilvl w:val="0"/>
          <w:numId w:val="8"/>
        </w:numPr>
        <w:spacing w:before="167" w:line="360" w:lineRule="auto"/>
        <w:ind w:left="1418" w:right="125"/>
        <w:jc w:val="both"/>
        <w:rPr>
          <w:rFonts w:ascii="Verdana" w:hAnsi="Verdana"/>
          <w:lang w:val="it-IT"/>
        </w:rPr>
      </w:pPr>
      <w:r>
        <w:rPr>
          <w:rFonts w:ascii="Verdana" w:hAnsi="Verdana"/>
          <w:lang w:val="it-IT"/>
        </w:rPr>
        <w:lastRenderedPageBreak/>
        <w:t>€ 806.687,00 – trasferimenti per progetti di ricerca coordinati dal</w:t>
      </w:r>
      <w:r w:rsidR="001A5B5E">
        <w:rPr>
          <w:rFonts w:ascii="Verdana" w:hAnsi="Verdana"/>
          <w:lang w:val="it-IT"/>
        </w:rPr>
        <w:t>l</w:t>
      </w:r>
      <w:r>
        <w:rPr>
          <w:rFonts w:ascii="Verdana" w:hAnsi="Verdana"/>
          <w:lang w:val="it-IT"/>
        </w:rPr>
        <w:t>a Fondazione.</w:t>
      </w:r>
    </w:p>
    <w:p w14:paraId="0DC8BFD0" w14:textId="77777777" w:rsidR="00266718" w:rsidRDefault="00266718" w:rsidP="00266718">
      <w:pPr>
        <w:pStyle w:val="Corpotesto"/>
        <w:spacing w:before="167" w:line="360" w:lineRule="auto"/>
        <w:ind w:left="887" w:right="125"/>
        <w:jc w:val="both"/>
        <w:rPr>
          <w:rFonts w:ascii="Verdana" w:hAnsi="Verdana"/>
          <w:lang w:val="it-IT"/>
        </w:rPr>
      </w:pPr>
    </w:p>
    <w:p w14:paraId="01D5A81A" w14:textId="1A9491AB" w:rsidR="00826112" w:rsidRPr="00AB42CB" w:rsidRDefault="00826112" w:rsidP="004B4584">
      <w:pPr>
        <w:pStyle w:val="Corpotesto"/>
        <w:numPr>
          <w:ilvl w:val="0"/>
          <w:numId w:val="7"/>
        </w:numPr>
        <w:spacing w:before="167" w:line="360" w:lineRule="auto"/>
        <w:ind w:right="125"/>
        <w:jc w:val="both"/>
        <w:rPr>
          <w:rFonts w:ascii="Verdana" w:hAnsi="Verdana"/>
          <w:lang w:val="it-IT"/>
        </w:rPr>
      </w:pPr>
      <w:r>
        <w:rPr>
          <w:rFonts w:ascii="Verdana" w:hAnsi="Verdana"/>
          <w:lang w:val="it-IT"/>
        </w:rPr>
        <w:t xml:space="preserve">ricavi dell’Ateneo verso la Fondazione UNIMI: si tratta del riaddebito dei costi </w:t>
      </w:r>
      <w:r w:rsidR="00266718">
        <w:rPr>
          <w:rFonts w:ascii="Verdana" w:hAnsi="Verdana"/>
          <w:lang w:val="it-IT"/>
        </w:rPr>
        <w:t>per l’anticipazione versata dall’Università per la liquidazione dell’imposta comunale TARI per l’anno 202</w:t>
      </w:r>
      <w:r w:rsidR="00E04502">
        <w:rPr>
          <w:rFonts w:ascii="Verdana" w:hAnsi="Verdana"/>
          <w:lang w:val="it-IT"/>
        </w:rPr>
        <w:t>4</w:t>
      </w:r>
      <w:r w:rsidR="00266718">
        <w:rPr>
          <w:rFonts w:ascii="Verdana" w:hAnsi="Verdana"/>
          <w:lang w:val="it-IT"/>
        </w:rPr>
        <w:t>.</w:t>
      </w:r>
    </w:p>
    <w:p w14:paraId="346AB134" w14:textId="77777777" w:rsidR="004B4584" w:rsidRPr="006B7681" w:rsidRDefault="004B4584" w:rsidP="004B4584">
      <w:pPr>
        <w:pStyle w:val="Corpotesto"/>
        <w:spacing w:before="167" w:line="360" w:lineRule="auto"/>
        <w:ind w:left="527" w:right="125"/>
        <w:jc w:val="both"/>
        <w:rPr>
          <w:rFonts w:ascii="Verdana" w:hAnsi="Verdana"/>
          <w:lang w:val="it-IT"/>
        </w:rPr>
      </w:pPr>
      <w:r w:rsidRPr="006B7681">
        <w:rPr>
          <w:rFonts w:ascii="Verdana" w:hAnsi="Verdana"/>
          <w:lang w:val="it-IT"/>
        </w:rPr>
        <w:t>Complessivamente, le elisioni delle poste infragruppo sono state le seguenti:</w:t>
      </w:r>
    </w:p>
    <w:p w14:paraId="762707FB" w14:textId="77777777" w:rsidR="00E04502" w:rsidRDefault="00E04502" w:rsidP="00E04502">
      <w:pPr>
        <w:pStyle w:val="Corpotesto"/>
        <w:spacing w:before="167" w:line="360" w:lineRule="auto"/>
        <w:ind w:left="567" w:right="125"/>
        <w:jc w:val="both"/>
        <w:rPr>
          <w:lang w:val="it-IT"/>
        </w:rPr>
      </w:pPr>
    </w:p>
    <w:p w14:paraId="643A4915" w14:textId="20D067B3" w:rsidR="00E04502" w:rsidRDefault="00E04502" w:rsidP="00E04502">
      <w:pPr>
        <w:pStyle w:val="Corpotesto"/>
        <w:spacing w:before="167" w:line="360" w:lineRule="auto"/>
        <w:ind w:left="567" w:right="125"/>
        <w:jc w:val="both"/>
        <w:rPr>
          <w:color w:val="FF0000"/>
        </w:rPr>
      </w:pPr>
      <w:r w:rsidRPr="00E04502">
        <w:rPr>
          <w:noProof/>
        </w:rPr>
        <w:drawing>
          <wp:inline distT="0" distB="0" distL="0" distR="0" wp14:anchorId="609F6C25" wp14:editId="43B78B70">
            <wp:extent cx="6153150" cy="1585595"/>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53150" cy="1585595"/>
                    </a:xfrm>
                    <a:prstGeom prst="rect">
                      <a:avLst/>
                    </a:prstGeom>
                    <a:noFill/>
                    <a:ln>
                      <a:noFill/>
                    </a:ln>
                  </pic:spPr>
                </pic:pic>
              </a:graphicData>
            </a:graphic>
          </wp:inline>
        </w:drawing>
      </w:r>
    </w:p>
    <w:p w14:paraId="1575C95F" w14:textId="526A0CBD" w:rsidR="00482BD8" w:rsidRDefault="00482BD8" w:rsidP="00A00F32">
      <w:pPr>
        <w:pStyle w:val="Corpotesto"/>
        <w:spacing w:before="167" w:line="360" w:lineRule="auto"/>
        <w:ind w:left="567" w:right="539"/>
        <w:jc w:val="both"/>
        <w:rPr>
          <w:color w:val="FF0000"/>
        </w:rPr>
      </w:pPr>
    </w:p>
    <w:p w14:paraId="49777F82" w14:textId="35CE2DE1" w:rsidR="00E04502" w:rsidRDefault="00E04502" w:rsidP="00A00F32">
      <w:pPr>
        <w:pStyle w:val="Corpotesto"/>
        <w:spacing w:before="167" w:line="360" w:lineRule="auto"/>
        <w:ind w:left="567" w:right="539"/>
        <w:jc w:val="both"/>
        <w:rPr>
          <w:color w:val="FF0000"/>
        </w:rPr>
      </w:pPr>
      <w:r w:rsidRPr="00E04502">
        <w:rPr>
          <w:noProof/>
        </w:rPr>
        <w:drawing>
          <wp:inline distT="0" distB="0" distL="0" distR="0" wp14:anchorId="7728094B" wp14:editId="407ED5D1">
            <wp:extent cx="6172200" cy="1421765"/>
            <wp:effectExtent l="0" t="0" r="0" b="6985"/>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72200" cy="1421765"/>
                    </a:xfrm>
                    <a:prstGeom prst="rect">
                      <a:avLst/>
                    </a:prstGeom>
                    <a:noFill/>
                    <a:ln>
                      <a:noFill/>
                    </a:ln>
                  </pic:spPr>
                </pic:pic>
              </a:graphicData>
            </a:graphic>
          </wp:inline>
        </w:drawing>
      </w:r>
    </w:p>
    <w:p w14:paraId="7D5B65A3" w14:textId="5CDD9528" w:rsidR="00482BD8" w:rsidRPr="003D5010" w:rsidRDefault="00482BD8" w:rsidP="00A00F32">
      <w:pPr>
        <w:pStyle w:val="Corpotesto"/>
        <w:spacing w:before="167" w:line="360" w:lineRule="auto"/>
        <w:ind w:left="567" w:right="539"/>
        <w:jc w:val="both"/>
        <w:rPr>
          <w:color w:val="FF0000"/>
        </w:rPr>
        <w:sectPr w:rsidR="00482BD8" w:rsidRPr="003D5010">
          <w:headerReference w:type="default" r:id="rId23"/>
          <w:footerReference w:type="default" r:id="rId24"/>
          <w:pgSz w:w="11900" w:h="16840"/>
          <w:pgMar w:top="1600" w:right="860" w:bottom="940" w:left="720" w:header="0" w:footer="746" w:gutter="0"/>
          <w:pgNumType w:start="14"/>
          <w:cols w:space="720"/>
        </w:sectPr>
      </w:pPr>
    </w:p>
    <w:p w14:paraId="365718B9" w14:textId="77777777" w:rsidR="00B95159" w:rsidRDefault="00B95159" w:rsidP="004B4584">
      <w:pPr>
        <w:spacing w:line="360" w:lineRule="auto"/>
        <w:ind w:left="567"/>
        <w:jc w:val="both"/>
        <w:rPr>
          <w:color w:val="FF0000"/>
        </w:rPr>
      </w:pPr>
    </w:p>
    <w:p w14:paraId="465C4A72" w14:textId="77777777" w:rsidR="004B4584" w:rsidRPr="009B68DC" w:rsidRDefault="008D0F5F" w:rsidP="008D0F5F">
      <w:pPr>
        <w:widowControl/>
        <w:autoSpaceDE/>
        <w:autoSpaceDN/>
        <w:spacing w:after="200" w:line="276" w:lineRule="auto"/>
        <w:rPr>
          <w:rFonts w:ascii="Verdana" w:hAnsi="Verdana"/>
          <w:b/>
          <w:noProof/>
          <w:sz w:val="28"/>
          <w:lang w:val="it-IT" w:eastAsia="it-IT"/>
        </w:rPr>
      </w:pPr>
      <w:r w:rsidRPr="008D0F5F">
        <w:rPr>
          <w:rFonts w:ascii="Verdana" w:hAnsi="Verdana"/>
          <w:b/>
          <w:noProof/>
          <w:sz w:val="28"/>
          <w:lang w:val="it-IT" w:eastAsia="it-IT"/>
        </w:rPr>
        <w:t>R</w:t>
      </w:r>
      <w:r w:rsidR="004B4584" w:rsidRPr="009B68DC">
        <w:rPr>
          <w:rFonts w:ascii="Verdana" w:hAnsi="Verdana"/>
          <w:b/>
          <w:noProof/>
          <w:sz w:val="28"/>
          <w:lang w:val="it-IT" w:eastAsia="it-IT"/>
        </w:rPr>
        <w:t>elazione sulla gestione</w:t>
      </w:r>
    </w:p>
    <w:p w14:paraId="5DA0DE10" w14:textId="77777777" w:rsidR="004B4584" w:rsidRPr="006B7681" w:rsidRDefault="004B4584" w:rsidP="004B4584">
      <w:pPr>
        <w:pStyle w:val="Corpotesto"/>
        <w:spacing w:before="6"/>
        <w:jc w:val="center"/>
        <w:rPr>
          <w:rFonts w:ascii="BauerBodoni-Roman"/>
          <w:color w:val="FF0000"/>
          <w:sz w:val="26"/>
          <w:lang w:val="it-IT"/>
        </w:rPr>
      </w:pPr>
    </w:p>
    <w:p w14:paraId="7F74062B" w14:textId="77777777" w:rsidR="004B4584" w:rsidRPr="006B7681" w:rsidRDefault="004B4584" w:rsidP="004B4584">
      <w:pPr>
        <w:pStyle w:val="Corpotesto"/>
        <w:spacing w:before="167" w:line="360" w:lineRule="auto"/>
        <w:ind w:left="567" w:right="125"/>
        <w:jc w:val="both"/>
        <w:rPr>
          <w:rFonts w:ascii="Verdana" w:hAnsi="Verdana"/>
          <w:lang w:val="it-IT"/>
        </w:rPr>
      </w:pPr>
      <w:r w:rsidRPr="006B7681">
        <w:rPr>
          <w:rFonts w:ascii="Verdana" w:hAnsi="Verdana"/>
          <w:lang w:val="it-IT"/>
        </w:rPr>
        <w:t>L’Università degli Studi di Milano è chiamata a predisporre il Bilancio Consolidato, integrato quindi con i bilanci di tutti gli enti e le società partecipate su cui la Capogruppo esercita una forma di controllo</w:t>
      </w:r>
      <w:r w:rsidR="00ED08BA">
        <w:rPr>
          <w:rFonts w:ascii="Verdana" w:hAnsi="Verdana"/>
          <w:lang w:val="it-IT"/>
        </w:rPr>
        <w:t xml:space="preserve"> dominante</w:t>
      </w:r>
      <w:r w:rsidRPr="006B7681">
        <w:rPr>
          <w:rFonts w:ascii="Verdana" w:hAnsi="Verdana"/>
          <w:lang w:val="it-IT"/>
        </w:rPr>
        <w:t>.</w:t>
      </w:r>
    </w:p>
    <w:p w14:paraId="211D9137" w14:textId="77777777" w:rsidR="004B4584" w:rsidRPr="006B7681" w:rsidRDefault="004B4584" w:rsidP="004B4584">
      <w:pPr>
        <w:pStyle w:val="Corpotesto"/>
        <w:spacing w:before="167" w:line="360" w:lineRule="auto"/>
        <w:ind w:left="567" w:right="125"/>
        <w:jc w:val="both"/>
        <w:rPr>
          <w:rFonts w:ascii="Verdana" w:hAnsi="Verdana"/>
          <w:lang w:val="it-IT"/>
        </w:rPr>
      </w:pPr>
      <w:r w:rsidRPr="006B7681">
        <w:rPr>
          <w:rFonts w:ascii="Verdana" w:hAnsi="Verdana"/>
          <w:lang w:val="it-IT"/>
        </w:rPr>
        <w:t>In tal senso l’art. 6 comma 2 del decreto legislativo n.18/2012 e l’art. 1 lettera c) del decreto interministeriale Miur-</w:t>
      </w:r>
      <w:proofErr w:type="spellStart"/>
      <w:r w:rsidRPr="006B7681">
        <w:rPr>
          <w:rFonts w:ascii="Verdana" w:hAnsi="Verdana"/>
          <w:lang w:val="it-IT"/>
        </w:rPr>
        <w:t>Mef</w:t>
      </w:r>
      <w:proofErr w:type="spellEnd"/>
      <w:r w:rsidRPr="006B7681">
        <w:rPr>
          <w:rFonts w:ascii="Verdana" w:hAnsi="Verdana"/>
          <w:lang w:val="it-IT"/>
        </w:rPr>
        <w:t xml:space="preserve"> n.248/2016 esplicitano i criteri per definire l’area di consolidamento, cioè le fattispecie sulla base delle quali vanno considerate come “controllate” le realtà collegate a vario titolo con l’Ateneo capogruppo:</w:t>
      </w:r>
    </w:p>
    <w:p w14:paraId="0658AC8C" w14:textId="77777777" w:rsidR="004B4584" w:rsidRPr="006B7681" w:rsidRDefault="004B4584" w:rsidP="004B4584">
      <w:pPr>
        <w:pStyle w:val="Corpotesto"/>
        <w:numPr>
          <w:ilvl w:val="0"/>
          <w:numId w:val="2"/>
        </w:numPr>
        <w:spacing w:before="167" w:line="360" w:lineRule="auto"/>
        <w:ind w:right="125"/>
        <w:jc w:val="both"/>
        <w:rPr>
          <w:rFonts w:ascii="Verdana" w:hAnsi="Verdana"/>
          <w:lang w:val="it-IT"/>
        </w:rPr>
      </w:pPr>
      <w:r w:rsidRPr="006B7681">
        <w:rPr>
          <w:rFonts w:ascii="Verdana" w:hAnsi="Verdana"/>
          <w:lang w:val="it-IT"/>
        </w:rPr>
        <w:t>fondazioni universitarie istituite ai sensi dell’articolo 59, comma 3, della legge 23 dicembre 2000, n. 388, e successive modificazioni;</w:t>
      </w:r>
    </w:p>
    <w:p w14:paraId="12E027DE" w14:textId="77777777" w:rsidR="004B4584" w:rsidRPr="006B7681" w:rsidRDefault="004B4584" w:rsidP="004B4584">
      <w:pPr>
        <w:pStyle w:val="Corpotesto"/>
        <w:numPr>
          <w:ilvl w:val="0"/>
          <w:numId w:val="2"/>
        </w:numPr>
        <w:spacing w:before="167" w:line="360" w:lineRule="auto"/>
        <w:ind w:right="125"/>
        <w:jc w:val="both"/>
        <w:rPr>
          <w:rFonts w:ascii="Verdana" w:hAnsi="Verdana"/>
          <w:lang w:val="it-IT"/>
        </w:rPr>
      </w:pPr>
      <w:r w:rsidRPr="006B7681">
        <w:rPr>
          <w:rFonts w:ascii="Verdana" w:hAnsi="Verdana"/>
          <w:lang w:val="it-IT"/>
        </w:rPr>
        <w:t>società di capitali controllate dalle università ai sensi del codice civile;</w:t>
      </w:r>
    </w:p>
    <w:p w14:paraId="3C661B2F" w14:textId="77777777" w:rsidR="004B4584" w:rsidRPr="006B7681" w:rsidRDefault="004B4584" w:rsidP="004B4584">
      <w:pPr>
        <w:pStyle w:val="Corpotesto"/>
        <w:numPr>
          <w:ilvl w:val="0"/>
          <w:numId w:val="2"/>
        </w:numPr>
        <w:spacing w:before="167" w:line="360" w:lineRule="auto"/>
        <w:ind w:right="125"/>
        <w:jc w:val="both"/>
        <w:rPr>
          <w:rFonts w:ascii="Verdana" w:hAnsi="Verdana"/>
          <w:lang w:val="it-IT"/>
        </w:rPr>
      </w:pPr>
      <w:r w:rsidRPr="006B7681">
        <w:rPr>
          <w:rFonts w:ascii="Verdana" w:hAnsi="Verdana"/>
          <w:lang w:val="it-IT"/>
        </w:rPr>
        <w:t>altri enti nei quali le università hanno il potere di esercitare la maggioranza dei voti nell’assemblea dei soci;</w:t>
      </w:r>
    </w:p>
    <w:p w14:paraId="342DA202" w14:textId="77777777" w:rsidR="004B4584" w:rsidRPr="006B7681" w:rsidRDefault="004B4584" w:rsidP="004B4584">
      <w:pPr>
        <w:pStyle w:val="Corpotesto"/>
        <w:numPr>
          <w:ilvl w:val="0"/>
          <w:numId w:val="2"/>
        </w:numPr>
        <w:spacing w:before="167" w:line="360" w:lineRule="auto"/>
        <w:ind w:right="125"/>
        <w:jc w:val="both"/>
        <w:rPr>
          <w:rFonts w:ascii="Verdana" w:hAnsi="Verdana"/>
          <w:lang w:val="it-IT"/>
        </w:rPr>
      </w:pPr>
      <w:r w:rsidRPr="006B7681">
        <w:rPr>
          <w:rFonts w:ascii="Verdana" w:hAnsi="Verdana"/>
          <w:lang w:val="it-IT"/>
        </w:rPr>
        <w:t>altri enti nei quali le università possono nominare la maggioranza dei componenti degli organi di amministrazione.</w:t>
      </w:r>
    </w:p>
    <w:p w14:paraId="55ACE896" w14:textId="77777777" w:rsidR="004B4584" w:rsidRPr="006B7681" w:rsidRDefault="004B4584" w:rsidP="004B4584">
      <w:pPr>
        <w:pStyle w:val="Corpotesto"/>
        <w:spacing w:before="11"/>
        <w:rPr>
          <w:color w:val="FF0000"/>
          <w:sz w:val="35"/>
          <w:lang w:val="it-IT"/>
        </w:rPr>
      </w:pPr>
    </w:p>
    <w:p w14:paraId="6563B5BB" w14:textId="77777777" w:rsidR="00617491" w:rsidRPr="004D1C5E" w:rsidRDefault="004B4584" w:rsidP="00617491">
      <w:pPr>
        <w:pStyle w:val="Corpotesto"/>
        <w:spacing w:before="167" w:line="360" w:lineRule="auto"/>
        <w:ind w:left="567" w:right="125"/>
        <w:jc w:val="both"/>
        <w:rPr>
          <w:rFonts w:ascii="Verdana" w:hAnsi="Verdana"/>
          <w:lang w:val="it-IT"/>
        </w:rPr>
      </w:pPr>
      <w:r w:rsidRPr="006B7681">
        <w:rPr>
          <w:rFonts w:ascii="Verdana" w:hAnsi="Verdana"/>
          <w:lang w:val="it-IT"/>
        </w:rPr>
        <w:t>Sulla base dei criteri definiti dal suddetto articolo, l'area di consolidamento dell'Università degli Studi di Milano comprende la Fondazione UNIMI, Fondazione universitaria ai sensi dell’articolo 59, comma 3, della Legge 23 dicembre 2000, n. 388, e successive modificazioni dell’Università degli Studi di Milano, di cui l’Ateneo detiene il 100% del fondo di dotazione</w:t>
      </w:r>
      <w:r w:rsidRPr="004D1C5E">
        <w:rPr>
          <w:rFonts w:ascii="Verdana" w:hAnsi="Verdana"/>
          <w:lang w:val="it-IT"/>
        </w:rPr>
        <w:t xml:space="preserve">. </w:t>
      </w:r>
      <w:r w:rsidR="006A125E" w:rsidRPr="004D1C5E">
        <w:rPr>
          <w:rFonts w:ascii="Verdana" w:hAnsi="Verdana"/>
          <w:lang w:val="it-IT"/>
        </w:rPr>
        <w:t xml:space="preserve">Si ricorda che </w:t>
      </w:r>
      <w:r w:rsidR="00617491" w:rsidRPr="004D1C5E">
        <w:rPr>
          <w:rFonts w:ascii="Verdana" w:hAnsi="Verdana"/>
          <w:lang w:val="it-IT"/>
        </w:rPr>
        <w:t xml:space="preserve">Fondazione UNIMI, a seguito della decisione di dismettere la </w:t>
      </w:r>
      <w:r w:rsidR="00FE3663" w:rsidRPr="004D1C5E">
        <w:rPr>
          <w:rFonts w:ascii="Verdana" w:hAnsi="Verdana"/>
          <w:lang w:val="it-IT"/>
        </w:rPr>
        <w:t xml:space="preserve">propria </w:t>
      </w:r>
      <w:r w:rsidR="00617491" w:rsidRPr="004D1C5E">
        <w:rPr>
          <w:rFonts w:ascii="Verdana" w:hAnsi="Verdana"/>
          <w:lang w:val="it-IT"/>
        </w:rPr>
        <w:t>partecipazione totalitaria in Filarete servizi s.r.l., ha presentato in data 4 marzo 2021 apposita istanza all’Agenzia delle Entrate in ordine al trattamento fiscale di un’operazione di fusione per incorporazione di Filarete servizi s.r.l. in Fondazione Unimi</w:t>
      </w:r>
      <w:r w:rsidR="00FE3663" w:rsidRPr="004D1C5E">
        <w:rPr>
          <w:rFonts w:ascii="Verdana" w:hAnsi="Verdana"/>
          <w:lang w:val="it-IT"/>
        </w:rPr>
        <w:t xml:space="preserve">: tale fusione è stata quindi </w:t>
      </w:r>
      <w:r w:rsidR="00FE3663" w:rsidRPr="004D1C5E">
        <w:rPr>
          <w:rFonts w:ascii="Verdana" w:hAnsi="Verdana"/>
          <w:lang w:val="it-IT"/>
        </w:rPr>
        <w:lastRenderedPageBreak/>
        <w:t>deliberata dalle due istituzioni</w:t>
      </w:r>
      <w:r w:rsidR="00FE3663" w:rsidRPr="004D1C5E">
        <w:rPr>
          <w:rFonts w:ascii="Verdana" w:hAnsi="Verdana"/>
          <w:sz w:val="22"/>
          <w:szCs w:val="22"/>
          <w:lang w:val="it-IT"/>
        </w:rPr>
        <w:t xml:space="preserve"> </w:t>
      </w:r>
      <w:r w:rsidR="00FE3663" w:rsidRPr="004D1C5E">
        <w:rPr>
          <w:rFonts w:ascii="Verdana" w:hAnsi="Verdana"/>
          <w:lang w:val="it-IT"/>
        </w:rPr>
        <w:t xml:space="preserve">con atto del 2 novembre 2022 (rogito Notaio Angelo </w:t>
      </w:r>
      <w:proofErr w:type="spellStart"/>
      <w:r w:rsidR="00FE3663" w:rsidRPr="004D1C5E">
        <w:rPr>
          <w:rFonts w:ascii="Verdana" w:hAnsi="Verdana"/>
          <w:lang w:val="it-IT"/>
        </w:rPr>
        <w:t>Busani</w:t>
      </w:r>
      <w:proofErr w:type="spellEnd"/>
      <w:r w:rsidR="00FE3663" w:rsidRPr="004D1C5E">
        <w:rPr>
          <w:rFonts w:ascii="Verdana" w:hAnsi="Verdana"/>
          <w:lang w:val="it-IT"/>
        </w:rPr>
        <w:t xml:space="preserve"> di Milano, rep. N. 56429) e con decorrenza contabile e fiscale dal successivo 5 dicembre 2022.</w:t>
      </w:r>
    </w:p>
    <w:p w14:paraId="3D3FAEB6" w14:textId="77777777" w:rsidR="004B4584" w:rsidRPr="006B7681" w:rsidRDefault="004B4584" w:rsidP="004B4584">
      <w:pPr>
        <w:pStyle w:val="Corpotesto"/>
        <w:spacing w:before="167" w:line="360" w:lineRule="auto"/>
        <w:ind w:left="567" w:right="125"/>
        <w:jc w:val="both"/>
        <w:rPr>
          <w:rFonts w:ascii="Verdana" w:hAnsi="Verdana"/>
          <w:lang w:val="it-IT"/>
        </w:rPr>
      </w:pPr>
      <w:r w:rsidRPr="004D1C5E">
        <w:rPr>
          <w:rFonts w:ascii="Verdana" w:hAnsi="Verdana"/>
          <w:lang w:val="it-IT"/>
        </w:rPr>
        <w:t>La fondazione è stata costituita il 29/03/2018 tramite atto notarile di modifica</w:t>
      </w:r>
      <w:r w:rsidRPr="006B7681">
        <w:rPr>
          <w:rFonts w:ascii="Verdana" w:hAnsi="Verdana"/>
          <w:lang w:val="it-IT"/>
        </w:rPr>
        <w:t xml:space="preserve"> statutaria di Fondazione Filarete, istituzione, costituita nel 2008</w:t>
      </w:r>
      <w:r w:rsidR="0084086A">
        <w:rPr>
          <w:rFonts w:ascii="Verdana" w:hAnsi="Verdana"/>
          <w:lang w:val="it-IT"/>
        </w:rPr>
        <w:t xml:space="preserve"> e</w:t>
      </w:r>
      <w:r w:rsidRPr="006B7681">
        <w:rPr>
          <w:rFonts w:ascii="Verdana" w:hAnsi="Verdana"/>
          <w:lang w:val="it-IT"/>
        </w:rPr>
        <w:t xml:space="preserve"> iscritta nel registro Regionale Persone Giuridiche</w:t>
      </w:r>
      <w:r w:rsidR="0084086A">
        <w:rPr>
          <w:rFonts w:ascii="Verdana" w:hAnsi="Verdana"/>
          <w:lang w:val="it-IT"/>
        </w:rPr>
        <w:t>,</w:t>
      </w:r>
      <w:r w:rsidRPr="006B7681">
        <w:rPr>
          <w:rFonts w:ascii="Verdana" w:hAnsi="Verdana"/>
          <w:lang w:val="it-IT"/>
        </w:rPr>
        <w:t xml:space="preserve"> che ha ottenuto il riconoscimento con decreto della Regione Lombardia n. 7131 del 1° luglio 2008.</w:t>
      </w:r>
    </w:p>
    <w:p w14:paraId="4F1E458C" w14:textId="77777777" w:rsidR="004B4584" w:rsidRPr="006B7681" w:rsidRDefault="004B4584" w:rsidP="004B4584">
      <w:pPr>
        <w:pStyle w:val="Corpotesto"/>
        <w:spacing w:before="167" w:line="360" w:lineRule="auto"/>
        <w:ind w:left="567" w:right="125"/>
        <w:jc w:val="both"/>
        <w:rPr>
          <w:rFonts w:ascii="Verdana" w:hAnsi="Verdana"/>
          <w:lang w:val="it-IT"/>
        </w:rPr>
      </w:pPr>
      <w:r w:rsidRPr="006B7681">
        <w:rPr>
          <w:rFonts w:ascii="Verdana" w:hAnsi="Verdana"/>
          <w:lang w:val="it-IT"/>
        </w:rPr>
        <w:t>Dalla fondazione all’anno 2014 le attività del gruppo Filarete si sono concentrate sia sulla gestione di piattaforme scientifiche di servizio alle imprese, sia sulle attività di incubazione rivolte alla nuova imprenditorialità presso l’edificio di Viale Ortles. A partire dall’anno 2015 i Soci Fondatori hanno inteso modificare sostanzialmente l’assetto istituzionale e le linee di attività in carico alla Fondazione demandandone gli indirizzi e la governance all’Università degli Studi di Milano. L’Ateneo ha sintetizzato le finalità del progetto Filarete nell’attribuzione alla Fondazione medesima di alcune attività istituzionali legate al trasferimento ed alla valorizzazione delle conoscenze, dando contestualmente inizio ad un processo di modifica statutaria volto al conseguimento della personalità giuridica di Fondazione Universitaria e alla conseguente variazione della denominazione in “Fondazione Unimi”.</w:t>
      </w:r>
    </w:p>
    <w:p w14:paraId="575EE5FF" w14:textId="77777777" w:rsidR="00C010E3" w:rsidRDefault="00C010E3" w:rsidP="006242C0">
      <w:pPr>
        <w:pStyle w:val="Corpotesto"/>
        <w:spacing w:before="167" w:line="360" w:lineRule="auto"/>
        <w:ind w:left="567" w:right="125"/>
        <w:jc w:val="both"/>
        <w:rPr>
          <w:rFonts w:ascii="Verdana" w:hAnsi="Verdana"/>
          <w:lang w:val="it-IT"/>
        </w:rPr>
      </w:pPr>
      <w:r w:rsidRPr="00545BC1">
        <w:rPr>
          <w:rFonts w:ascii="Verdana" w:hAnsi="Verdana"/>
          <w:lang w:val="it-IT"/>
        </w:rPr>
        <w:t xml:space="preserve">Nel dicembre </w:t>
      </w:r>
      <w:r w:rsidRPr="00C64134">
        <w:rPr>
          <w:rFonts w:ascii="Verdana" w:hAnsi="Verdana"/>
          <w:lang w:val="it-IT"/>
        </w:rPr>
        <w:t>2019</w:t>
      </w:r>
      <w:r w:rsidRPr="00545BC1">
        <w:rPr>
          <w:rFonts w:ascii="Verdana" w:hAnsi="Verdana"/>
          <w:lang w:val="it-IT"/>
        </w:rPr>
        <w:t xml:space="preserve"> il Consiglio di Amministrazione dell’Ateneo ha proceduto alla nomina di un Direttore Generale per la Fondazione Universitaria</w:t>
      </w:r>
      <w:r w:rsidR="00A5387F">
        <w:rPr>
          <w:rFonts w:ascii="Verdana" w:hAnsi="Verdana"/>
          <w:lang w:val="it-IT"/>
        </w:rPr>
        <w:t>.</w:t>
      </w:r>
      <w:r w:rsidRPr="00545BC1">
        <w:rPr>
          <w:rFonts w:ascii="Verdana" w:hAnsi="Verdana"/>
          <w:lang w:val="it-IT"/>
        </w:rPr>
        <w:t xml:space="preserve"> </w:t>
      </w:r>
    </w:p>
    <w:p w14:paraId="6EAA552E" w14:textId="77777777" w:rsidR="00281E9A" w:rsidRDefault="00281E9A" w:rsidP="006242C0">
      <w:pPr>
        <w:pStyle w:val="Corpotesto"/>
        <w:spacing w:before="167" w:line="360" w:lineRule="auto"/>
        <w:ind w:left="567" w:right="125"/>
        <w:jc w:val="both"/>
        <w:rPr>
          <w:rFonts w:ascii="Verdana" w:hAnsi="Verdana"/>
          <w:lang w:val="it-IT"/>
        </w:rPr>
      </w:pPr>
      <w:r>
        <w:rPr>
          <w:rFonts w:ascii="Verdana" w:hAnsi="Verdana"/>
          <w:lang w:val="it-IT"/>
        </w:rPr>
        <w:t>Relativamente agli accordi tra Fondazione e Ateneo inerenti alle attività di valorizzazione e trasferimento delle conoscenze, nel marzo del 2020 la Governance di Fondazione ha presentato all’Ateneo un piano industriale triennale nel quale sono state in parte ridefinite le linee strategiche ed operative di Fondazione. Infatti, in attuazione del piano industriale</w:t>
      </w:r>
      <w:r w:rsidR="00AC3092">
        <w:rPr>
          <w:rFonts w:ascii="Verdana" w:hAnsi="Verdana"/>
          <w:lang w:val="it-IT"/>
        </w:rPr>
        <w:t xml:space="preserve"> sono state stipulate due nuove convenzioni, la convenzione “Open Innovation” e la convenzione per attività di facility management, entrate in vigore da </w:t>
      </w:r>
      <w:r w:rsidR="00AC3092">
        <w:rPr>
          <w:rFonts w:ascii="Verdana" w:hAnsi="Verdana"/>
          <w:lang w:val="it-IT"/>
        </w:rPr>
        <w:lastRenderedPageBreak/>
        <w:t xml:space="preserve">settembre 2020, in sostituzione del Protocollo d’intesa precedente. </w:t>
      </w:r>
    </w:p>
    <w:p w14:paraId="1792B4FB" w14:textId="77777777" w:rsidR="00AC3092" w:rsidRDefault="00AC3092" w:rsidP="006242C0">
      <w:pPr>
        <w:pStyle w:val="Corpotesto"/>
        <w:spacing w:before="167" w:line="360" w:lineRule="auto"/>
        <w:ind w:left="567" w:right="125"/>
        <w:jc w:val="both"/>
        <w:rPr>
          <w:rFonts w:ascii="Verdana" w:hAnsi="Verdana"/>
          <w:lang w:val="it-IT"/>
        </w:rPr>
      </w:pPr>
      <w:r>
        <w:rPr>
          <w:rFonts w:ascii="Verdana" w:hAnsi="Verdana"/>
          <w:lang w:val="it-IT"/>
        </w:rPr>
        <w:t xml:space="preserve">Nell’ambito di tali convenzioni si è anche proceduto ad una revisione degli assetti contrattuali di Fondazione con le realtà incubate, trasferendo per intero la </w:t>
      </w:r>
      <w:proofErr w:type="spellStart"/>
      <w:r>
        <w:rPr>
          <w:rFonts w:ascii="Verdana" w:hAnsi="Verdana"/>
          <w:lang w:val="it-IT"/>
        </w:rPr>
        <w:t>titolareità</w:t>
      </w:r>
      <w:proofErr w:type="spellEnd"/>
      <w:r>
        <w:rPr>
          <w:rFonts w:ascii="Verdana" w:hAnsi="Verdana"/>
          <w:lang w:val="it-IT"/>
        </w:rPr>
        <w:t xml:space="preserve"> dei contratti e dei relativi incassi in capo a</w:t>
      </w:r>
      <w:r w:rsidR="00314080">
        <w:rPr>
          <w:rFonts w:ascii="Verdana" w:hAnsi="Verdana"/>
          <w:lang w:val="it-IT"/>
        </w:rPr>
        <w:t>ll’Università</w:t>
      </w:r>
      <w:r>
        <w:rPr>
          <w:rFonts w:ascii="Verdana" w:hAnsi="Verdana"/>
          <w:lang w:val="it-IT"/>
        </w:rPr>
        <w:t>.</w:t>
      </w:r>
    </w:p>
    <w:p w14:paraId="7235D0FB" w14:textId="77777777" w:rsidR="00570385" w:rsidRDefault="00570385" w:rsidP="006242C0">
      <w:pPr>
        <w:pStyle w:val="Corpotesto"/>
        <w:spacing w:before="167" w:line="360" w:lineRule="auto"/>
        <w:ind w:left="567" w:right="125"/>
        <w:jc w:val="both"/>
        <w:rPr>
          <w:rFonts w:ascii="Verdana" w:hAnsi="Verdana"/>
          <w:lang w:val="it-IT"/>
        </w:rPr>
      </w:pPr>
      <w:r>
        <w:rPr>
          <w:rFonts w:ascii="Verdana" w:hAnsi="Verdana"/>
          <w:lang w:val="it-IT"/>
        </w:rPr>
        <w:t>Si è inoltre proceduto a rinnovare il contratto di comodato gratuito quadriennale per la porzione degli spazi di viale Ortles destinata alle attività di Fondazione.</w:t>
      </w:r>
    </w:p>
    <w:p w14:paraId="159F182F" w14:textId="77777777" w:rsidR="007B7DA9" w:rsidRDefault="00314080" w:rsidP="006242C0">
      <w:pPr>
        <w:pStyle w:val="Corpotesto"/>
        <w:spacing w:before="167" w:line="360" w:lineRule="auto"/>
        <w:ind w:left="567" w:right="125"/>
        <w:jc w:val="both"/>
        <w:rPr>
          <w:rFonts w:ascii="Verdana" w:hAnsi="Verdana"/>
          <w:lang w:val="it-IT"/>
        </w:rPr>
      </w:pPr>
      <w:r>
        <w:rPr>
          <w:rFonts w:ascii="Verdana" w:hAnsi="Verdana"/>
          <w:lang w:val="it-IT"/>
        </w:rPr>
        <w:t xml:space="preserve">Nel 2020, in </w:t>
      </w:r>
      <w:r w:rsidR="00A5387F">
        <w:rPr>
          <w:rFonts w:ascii="Verdana" w:hAnsi="Verdana"/>
          <w:lang w:val="it-IT"/>
        </w:rPr>
        <w:t>sinergia</w:t>
      </w:r>
      <w:r>
        <w:rPr>
          <w:rFonts w:ascii="Verdana" w:hAnsi="Verdana"/>
          <w:lang w:val="it-IT"/>
        </w:rPr>
        <w:t xml:space="preserve"> con la competente Direzione Valorizzazione e Trasferimento delle conoscenze, Fondazione ha avviato diverse attività di collaborazione tra aziende e ricercatori in un’ottica di open </w:t>
      </w:r>
      <w:proofErr w:type="spellStart"/>
      <w:r>
        <w:rPr>
          <w:rFonts w:ascii="Verdana" w:hAnsi="Verdana"/>
          <w:lang w:val="it-IT"/>
        </w:rPr>
        <w:t>innovation</w:t>
      </w:r>
      <w:proofErr w:type="spellEnd"/>
      <w:r>
        <w:rPr>
          <w:rFonts w:ascii="Verdana" w:hAnsi="Verdana"/>
          <w:lang w:val="it-IT"/>
        </w:rPr>
        <w:t>, e ha proceduto ad avviare la</w:t>
      </w:r>
      <w:r w:rsidR="007B7DA9">
        <w:rPr>
          <w:rFonts w:ascii="Verdana" w:hAnsi="Verdana"/>
          <w:lang w:val="it-IT"/>
        </w:rPr>
        <w:t xml:space="preserve"> School of Management</w:t>
      </w:r>
      <w:r>
        <w:rPr>
          <w:rFonts w:ascii="Verdana" w:hAnsi="Verdana"/>
          <w:lang w:val="it-IT"/>
        </w:rPr>
        <w:t xml:space="preserve"> dell’Università.</w:t>
      </w:r>
    </w:p>
    <w:p w14:paraId="3857378C" w14:textId="216A6A7D" w:rsidR="00C010E3" w:rsidRPr="005D1E20" w:rsidRDefault="00C010E3" w:rsidP="006242C0">
      <w:pPr>
        <w:pStyle w:val="Corpotesto"/>
        <w:spacing w:before="167" w:line="360" w:lineRule="auto"/>
        <w:ind w:left="567" w:right="125"/>
        <w:jc w:val="both"/>
        <w:rPr>
          <w:rFonts w:ascii="Verdana" w:hAnsi="Verdana"/>
          <w:lang w:val="it-IT"/>
        </w:rPr>
      </w:pPr>
      <w:r w:rsidRPr="00545BC1">
        <w:rPr>
          <w:rFonts w:ascii="Verdana" w:hAnsi="Verdana"/>
          <w:lang w:val="it-IT"/>
        </w:rPr>
        <w:t xml:space="preserve">Nell’esercizio </w:t>
      </w:r>
      <w:r w:rsidR="0068319A">
        <w:rPr>
          <w:rFonts w:ascii="Verdana" w:hAnsi="Verdana"/>
          <w:lang w:val="it-IT"/>
        </w:rPr>
        <w:t>202</w:t>
      </w:r>
      <w:r w:rsidR="00261F35">
        <w:rPr>
          <w:rFonts w:ascii="Verdana" w:hAnsi="Verdana"/>
          <w:lang w:val="it-IT"/>
        </w:rPr>
        <w:t>4</w:t>
      </w:r>
      <w:r w:rsidRPr="00545BC1">
        <w:rPr>
          <w:rFonts w:ascii="Verdana" w:hAnsi="Verdana"/>
          <w:lang w:val="it-IT"/>
        </w:rPr>
        <w:t xml:space="preserve"> Fondazione UniMi ha realizzato un valore della produzione pari a </w:t>
      </w:r>
      <w:r w:rsidR="006242C0" w:rsidRPr="00545BC1">
        <w:rPr>
          <w:rFonts w:ascii="Verdana" w:hAnsi="Verdana"/>
          <w:lang w:val="it-IT"/>
        </w:rPr>
        <w:t>€</w:t>
      </w:r>
      <w:r w:rsidRPr="00545BC1">
        <w:rPr>
          <w:rFonts w:ascii="Verdana" w:hAnsi="Verdana"/>
          <w:lang w:val="it-IT"/>
        </w:rPr>
        <w:t xml:space="preserve"> </w:t>
      </w:r>
      <w:r w:rsidR="00261F35">
        <w:rPr>
          <w:rFonts w:ascii="Verdana" w:hAnsi="Verdana"/>
          <w:lang w:val="it-IT"/>
        </w:rPr>
        <w:t>2.401.058</w:t>
      </w:r>
      <w:r w:rsidRPr="00545BC1">
        <w:rPr>
          <w:rFonts w:ascii="Verdana" w:hAnsi="Verdana"/>
          <w:lang w:val="it-IT"/>
        </w:rPr>
        <w:t xml:space="preserve">, mentre i costi di produzione </w:t>
      </w:r>
      <w:r w:rsidRPr="005D7384">
        <w:rPr>
          <w:rFonts w:ascii="Verdana" w:hAnsi="Verdana"/>
          <w:lang w:val="it-IT"/>
        </w:rPr>
        <w:t xml:space="preserve">dell’esercizio, al netto </w:t>
      </w:r>
      <w:r w:rsidR="00921182" w:rsidRPr="005D7384">
        <w:rPr>
          <w:rFonts w:ascii="Verdana" w:hAnsi="Verdana"/>
          <w:lang w:val="it-IT"/>
        </w:rPr>
        <w:t>di oneri finanziari e imposte</w:t>
      </w:r>
      <w:r w:rsidRPr="005D7384">
        <w:rPr>
          <w:rFonts w:ascii="Verdana" w:hAnsi="Verdana"/>
          <w:lang w:val="it-IT"/>
        </w:rPr>
        <w:t>, ammontano a</w:t>
      </w:r>
      <w:r w:rsidR="0054341D" w:rsidRPr="005D7384">
        <w:rPr>
          <w:rFonts w:ascii="Verdana" w:hAnsi="Verdana"/>
          <w:lang w:val="it-IT"/>
        </w:rPr>
        <w:t>d</w:t>
      </w:r>
      <w:r w:rsidRPr="005D7384">
        <w:rPr>
          <w:rFonts w:ascii="Verdana" w:hAnsi="Verdana"/>
          <w:lang w:val="it-IT"/>
        </w:rPr>
        <w:t xml:space="preserve"> </w:t>
      </w:r>
      <w:r w:rsidR="006242C0" w:rsidRPr="005D7384">
        <w:rPr>
          <w:rFonts w:ascii="Verdana" w:hAnsi="Verdana"/>
          <w:lang w:val="it-IT"/>
        </w:rPr>
        <w:t>€</w:t>
      </w:r>
      <w:r w:rsidRPr="005D7384">
        <w:rPr>
          <w:rFonts w:ascii="Verdana" w:hAnsi="Verdana"/>
          <w:lang w:val="it-IT"/>
        </w:rPr>
        <w:t xml:space="preserve"> </w:t>
      </w:r>
      <w:r w:rsidR="00261F35">
        <w:rPr>
          <w:rFonts w:ascii="Verdana" w:hAnsi="Verdana"/>
          <w:lang w:val="it-IT"/>
        </w:rPr>
        <w:t>2.394.045</w:t>
      </w:r>
      <w:r w:rsidRPr="005D7384">
        <w:rPr>
          <w:rFonts w:ascii="Verdana" w:hAnsi="Verdana"/>
          <w:lang w:val="it-IT"/>
        </w:rPr>
        <w:t xml:space="preserve">, di cui </w:t>
      </w:r>
      <w:r w:rsidR="006242C0" w:rsidRPr="005D7384">
        <w:rPr>
          <w:rFonts w:ascii="Verdana" w:hAnsi="Verdana"/>
          <w:lang w:val="it-IT"/>
        </w:rPr>
        <w:t>€</w:t>
      </w:r>
      <w:r w:rsidRPr="005D7384">
        <w:rPr>
          <w:rFonts w:ascii="Verdana" w:hAnsi="Verdana"/>
          <w:lang w:val="it-IT"/>
        </w:rPr>
        <w:t xml:space="preserve"> </w:t>
      </w:r>
      <w:r w:rsidR="00261F35">
        <w:rPr>
          <w:rFonts w:ascii="Verdana" w:hAnsi="Verdana"/>
          <w:lang w:val="it-IT"/>
        </w:rPr>
        <w:t>1.683.209</w:t>
      </w:r>
      <w:r w:rsidR="00921182" w:rsidRPr="005D7384">
        <w:rPr>
          <w:rFonts w:ascii="Verdana" w:hAnsi="Verdana"/>
          <w:lang w:val="it-IT"/>
        </w:rPr>
        <w:t xml:space="preserve"> per servizi</w:t>
      </w:r>
      <w:r w:rsidR="00D04D51" w:rsidRPr="005D7384">
        <w:rPr>
          <w:rFonts w:ascii="Verdana" w:hAnsi="Verdana"/>
          <w:lang w:val="it-IT"/>
        </w:rPr>
        <w:t xml:space="preserve"> </w:t>
      </w:r>
      <w:r w:rsidR="00D04D51" w:rsidRPr="004D1C5E">
        <w:rPr>
          <w:rFonts w:ascii="Verdana" w:hAnsi="Verdana"/>
          <w:lang w:val="it-IT"/>
        </w:rPr>
        <w:t xml:space="preserve">ed € </w:t>
      </w:r>
      <w:r w:rsidR="00261F35">
        <w:rPr>
          <w:rFonts w:ascii="Verdana" w:hAnsi="Verdana"/>
          <w:lang w:val="it-IT"/>
        </w:rPr>
        <w:t>582.234</w:t>
      </w:r>
      <w:r w:rsidR="00D04D51" w:rsidRPr="004D1C5E">
        <w:rPr>
          <w:rFonts w:ascii="Verdana" w:hAnsi="Verdana"/>
          <w:lang w:val="it-IT"/>
        </w:rPr>
        <w:t xml:space="preserve"> per i costi del</w:t>
      </w:r>
      <w:r w:rsidR="00D04D51" w:rsidRPr="005D7384">
        <w:rPr>
          <w:rFonts w:ascii="Verdana" w:hAnsi="Verdana"/>
          <w:lang w:val="it-IT"/>
        </w:rPr>
        <w:t xml:space="preserve"> personale</w:t>
      </w:r>
      <w:r w:rsidRPr="005D7384">
        <w:rPr>
          <w:rFonts w:ascii="Verdana" w:hAnsi="Verdana"/>
          <w:lang w:val="it-IT"/>
        </w:rPr>
        <w:t>.</w:t>
      </w:r>
      <w:r w:rsidRPr="005D1E20">
        <w:rPr>
          <w:rFonts w:ascii="Verdana" w:hAnsi="Verdana"/>
          <w:lang w:val="it-IT"/>
        </w:rPr>
        <w:t xml:space="preserve"> </w:t>
      </w:r>
    </w:p>
    <w:p w14:paraId="249D1C19" w14:textId="21429883" w:rsidR="004B4584" w:rsidRPr="006B7681" w:rsidRDefault="008D0F5F" w:rsidP="004B4584">
      <w:pPr>
        <w:pStyle w:val="Corpotesto"/>
        <w:spacing w:before="167" w:line="360" w:lineRule="auto"/>
        <w:ind w:left="567" w:right="125"/>
        <w:jc w:val="both"/>
        <w:rPr>
          <w:rFonts w:ascii="Verdana" w:hAnsi="Verdana"/>
          <w:lang w:val="it-IT"/>
        </w:rPr>
      </w:pPr>
      <w:r>
        <w:rPr>
          <w:rFonts w:ascii="Verdana" w:hAnsi="Verdana"/>
          <w:lang w:val="it-IT"/>
        </w:rPr>
        <w:t>I</w:t>
      </w:r>
      <w:r w:rsidR="004B4584" w:rsidRPr="006B7681">
        <w:rPr>
          <w:rFonts w:ascii="Verdana" w:hAnsi="Verdana"/>
          <w:lang w:val="it-IT"/>
        </w:rPr>
        <w:t>l consolidamento delle risultanze economiche e patrimoniali</w:t>
      </w:r>
      <w:r w:rsidR="004D1C5E">
        <w:rPr>
          <w:rFonts w:ascii="Verdana" w:hAnsi="Verdana"/>
          <w:lang w:val="it-IT"/>
        </w:rPr>
        <w:t xml:space="preserve"> </w:t>
      </w:r>
      <w:r w:rsidR="00B6504A">
        <w:rPr>
          <w:rFonts w:ascii="Verdana" w:hAnsi="Verdana"/>
          <w:lang w:val="it-IT"/>
        </w:rPr>
        <w:t>t</w:t>
      </w:r>
      <w:r w:rsidR="004D1C5E">
        <w:rPr>
          <w:rFonts w:ascii="Verdana" w:hAnsi="Verdana"/>
          <w:lang w:val="it-IT"/>
        </w:rPr>
        <w:t>ra l’Università e Fondazione</w:t>
      </w:r>
      <w:r w:rsidR="004B4584" w:rsidRPr="006B7681">
        <w:rPr>
          <w:rFonts w:ascii="Verdana" w:hAnsi="Verdana"/>
          <w:lang w:val="it-IT"/>
        </w:rPr>
        <w:t xml:space="preserve">, rapportato ai volumi complessivi, rileva </w:t>
      </w:r>
      <w:r w:rsidR="004D1C5E">
        <w:rPr>
          <w:rFonts w:ascii="Verdana" w:hAnsi="Verdana"/>
          <w:lang w:val="it-IT"/>
        </w:rPr>
        <w:t>solo</w:t>
      </w:r>
      <w:r w:rsidR="004B4584" w:rsidRPr="006B7681">
        <w:rPr>
          <w:rFonts w:ascii="Verdana" w:hAnsi="Verdana"/>
          <w:lang w:val="it-IT"/>
        </w:rPr>
        <w:t xml:space="preserve"> </w:t>
      </w:r>
      <w:r w:rsidR="006E1F42">
        <w:rPr>
          <w:rFonts w:ascii="Verdana" w:hAnsi="Verdana"/>
          <w:lang w:val="it-IT"/>
        </w:rPr>
        <w:t xml:space="preserve">lievi </w:t>
      </w:r>
      <w:r w:rsidR="004D1C5E">
        <w:rPr>
          <w:rFonts w:ascii="Verdana" w:hAnsi="Verdana"/>
          <w:lang w:val="it-IT"/>
        </w:rPr>
        <w:t xml:space="preserve">scostamenti </w:t>
      </w:r>
      <w:r w:rsidR="004B4584" w:rsidRPr="006B7681">
        <w:rPr>
          <w:rFonts w:ascii="Verdana" w:hAnsi="Verdana"/>
          <w:lang w:val="it-IT"/>
        </w:rPr>
        <w:t>nelle grandezze principali</w:t>
      </w:r>
      <w:r w:rsidR="004D1C5E">
        <w:rPr>
          <w:rFonts w:ascii="Verdana" w:hAnsi="Verdana"/>
          <w:lang w:val="it-IT"/>
        </w:rPr>
        <w:t>,</w:t>
      </w:r>
      <w:r w:rsidR="004B4584" w:rsidRPr="006B7681">
        <w:rPr>
          <w:rFonts w:ascii="Verdana" w:hAnsi="Verdana"/>
          <w:lang w:val="it-IT"/>
        </w:rPr>
        <w:t xml:space="preserve"> stante l’evidente sproporzione esistente fra le voci di bilancio dell’Ateneo rispetto alla sua controllata.</w:t>
      </w:r>
    </w:p>
    <w:p w14:paraId="3A4BB723" w14:textId="4D5B73F7" w:rsidR="004B4584" w:rsidRDefault="004B4584" w:rsidP="004B4584">
      <w:pPr>
        <w:pStyle w:val="Corpotesto"/>
        <w:spacing w:before="167" w:line="360" w:lineRule="auto"/>
        <w:ind w:left="567" w:right="125"/>
        <w:jc w:val="both"/>
        <w:rPr>
          <w:rFonts w:ascii="Verdana" w:hAnsi="Verdana"/>
          <w:lang w:val="it-IT"/>
        </w:rPr>
      </w:pPr>
      <w:r w:rsidRPr="006B7681">
        <w:rPr>
          <w:rFonts w:ascii="Verdana" w:hAnsi="Verdana"/>
          <w:lang w:val="it-IT"/>
        </w:rPr>
        <w:t xml:space="preserve">In particolare, con riferimento all’utile di esercizio, il consolidamento delle risultanze contabili evidenzia un risultato gestionale complessivo pari ad € </w:t>
      </w:r>
      <w:r w:rsidR="00F525AB">
        <w:rPr>
          <w:rFonts w:ascii="Verdana" w:hAnsi="Verdana"/>
          <w:lang w:val="it-IT"/>
        </w:rPr>
        <w:t>6.735.653</w:t>
      </w:r>
      <w:r w:rsidR="00122431">
        <w:rPr>
          <w:rFonts w:ascii="Verdana" w:hAnsi="Verdana"/>
          <w:lang w:val="it-IT"/>
        </w:rPr>
        <w:t xml:space="preserve"> </w:t>
      </w:r>
      <w:r w:rsidR="001E22E0">
        <w:rPr>
          <w:rFonts w:ascii="Verdana" w:hAnsi="Verdana"/>
          <w:lang w:val="it-IT"/>
        </w:rPr>
        <w:t>(</w:t>
      </w:r>
      <w:r w:rsidR="00117DD2">
        <w:rPr>
          <w:rFonts w:ascii="Verdana" w:hAnsi="Verdana"/>
          <w:lang w:val="it-IT"/>
        </w:rPr>
        <w:t>considerat</w:t>
      </w:r>
      <w:r w:rsidR="0033794B">
        <w:rPr>
          <w:rFonts w:ascii="Verdana" w:hAnsi="Verdana"/>
          <w:lang w:val="it-IT"/>
        </w:rPr>
        <w:t>o</w:t>
      </w:r>
      <w:r w:rsidR="00117DD2">
        <w:rPr>
          <w:rFonts w:ascii="Verdana" w:hAnsi="Verdana"/>
          <w:lang w:val="it-IT"/>
        </w:rPr>
        <w:t xml:space="preserve"> </w:t>
      </w:r>
      <w:r w:rsidR="00F525AB">
        <w:rPr>
          <w:rFonts w:ascii="Verdana" w:hAnsi="Verdana"/>
          <w:lang w:val="it-IT"/>
        </w:rPr>
        <w:t xml:space="preserve">il risultato di esercizio </w:t>
      </w:r>
      <w:r w:rsidR="001E22E0">
        <w:rPr>
          <w:rFonts w:ascii="Verdana" w:hAnsi="Verdana"/>
          <w:lang w:val="it-IT"/>
        </w:rPr>
        <w:t xml:space="preserve">di € </w:t>
      </w:r>
      <w:r w:rsidR="00F525AB">
        <w:rPr>
          <w:rFonts w:ascii="Verdana" w:hAnsi="Verdana"/>
          <w:lang w:val="it-IT"/>
        </w:rPr>
        <w:t>10.249</w:t>
      </w:r>
      <w:r w:rsidR="00122431">
        <w:rPr>
          <w:rFonts w:ascii="Verdana" w:hAnsi="Verdana"/>
          <w:lang w:val="it-IT"/>
        </w:rPr>
        <w:t xml:space="preserve"> </w:t>
      </w:r>
      <w:r w:rsidR="001E22E0">
        <w:rPr>
          <w:rFonts w:ascii="Verdana" w:hAnsi="Verdana"/>
          <w:lang w:val="it-IT"/>
        </w:rPr>
        <w:t xml:space="preserve">di competenza </w:t>
      </w:r>
      <w:r w:rsidR="00117DD2">
        <w:rPr>
          <w:rFonts w:ascii="Verdana" w:hAnsi="Verdana"/>
          <w:lang w:val="it-IT"/>
        </w:rPr>
        <w:t>di</w:t>
      </w:r>
      <w:r w:rsidR="00122431">
        <w:rPr>
          <w:rFonts w:ascii="Verdana" w:hAnsi="Verdana"/>
          <w:lang w:val="it-IT"/>
        </w:rPr>
        <w:t xml:space="preserve"> Fondazione Unimi)</w:t>
      </w:r>
      <w:r w:rsidRPr="006B7681">
        <w:rPr>
          <w:rFonts w:ascii="Verdana" w:hAnsi="Verdana"/>
          <w:lang w:val="it-IT"/>
        </w:rPr>
        <w:t xml:space="preserve">, contro € </w:t>
      </w:r>
      <w:r w:rsidR="00F525AB">
        <w:rPr>
          <w:rFonts w:ascii="Verdana" w:hAnsi="Verdana"/>
          <w:lang w:val="it-IT"/>
        </w:rPr>
        <w:t>6.725.404</w:t>
      </w:r>
      <w:r w:rsidRPr="006B7681">
        <w:rPr>
          <w:rFonts w:ascii="Verdana" w:hAnsi="Verdana"/>
          <w:lang w:val="it-IT"/>
        </w:rPr>
        <w:t xml:space="preserve"> del Bilancio Unico di esercizio </w:t>
      </w:r>
      <w:r w:rsidR="0068319A">
        <w:rPr>
          <w:rFonts w:ascii="Verdana" w:hAnsi="Verdana"/>
          <w:lang w:val="it-IT"/>
        </w:rPr>
        <w:t>202</w:t>
      </w:r>
      <w:r w:rsidR="00F525AB">
        <w:rPr>
          <w:rFonts w:ascii="Verdana" w:hAnsi="Verdana"/>
          <w:lang w:val="it-IT"/>
        </w:rPr>
        <w:t>4</w:t>
      </w:r>
      <w:r w:rsidRPr="006B7681">
        <w:rPr>
          <w:rFonts w:ascii="Verdana" w:hAnsi="Verdana"/>
          <w:lang w:val="it-IT"/>
        </w:rPr>
        <w:t xml:space="preserve"> dell’Ateneo</w:t>
      </w:r>
      <w:r w:rsidR="00400B4E">
        <w:rPr>
          <w:rFonts w:ascii="Verdana" w:hAnsi="Verdana"/>
          <w:lang w:val="it-IT"/>
        </w:rPr>
        <w:t>,</w:t>
      </w:r>
      <w:r w:rsidR="00F415B1">
        <w:rPr>
          <w:rFonts w:ascii="Verdana" w:hAnsi="Verdana"/>
          <w:lang w:val="it-IT"/>
        </w:rPr>
        <w:t xml:space="preserve"> in conseguenza dell</w:t>
      </w:r>
      <w:r w:rsidR="006E1F42">
        <w:rPr>
          <w:rFonts w:ascii="Verdana" w:hAnsi="Verdana"/>
          <w:lang w:val="it-IT"/>
        </w:rPr>
        <w:t>a</w:t>
      </w:r>
      <w:r w:rsidR="00F415B1">
        <w:rPr>
          <w:rFonts w:ascii="Verdana" w:hAnsi="Verdana"/>
          <w:lang w:val="it-IT"/>
        </w:rPr>
        <w:t xml:space="preserve"> elision</w:t>
      </w:r>
      <w:r w:rsidR="006E1F42">
        <w:rPr>
          <w:rFonts w:ascii="Verdana" w:hAnsi="Verdana"/>
          <w:lang w:val="it-IT"/>
        </w:rPr>
        <w:t>e</w:t>
      </w:r>
      <w:r w:rsidRPr="006B7681">
        <w:rPr>
          <w:rFonts w:ascii="Verdana" w:hAnsi="Verdana"/>
          <w:lang w:val="it-IT"/>
        </w:rPr>
        <w:t xml:space="preserve"> delle operazioni infragruppo.</w:t>
      </w:r>
      <w:r w:rsidR="008C30F7">
        <w:rPr>
          <w:rFonts w:ascii="Verdana" w:hAnsi="Verdana"/>
          <w:lang w:val="it-IT"/>
        </w:rPr>
        <w:t xml:space="preserve"> Si precisa </w:t>
      </w:r>
      <w:r w:rsidR="00DB0050">
        <w:rPr>
          <w:rFonts w:ascii="Verdana" w:hAnsi="Verdana"/>
          <w:lang w:val="it-IT"/>
        </w:rPr>
        <w:t xml:space="preserve">che </w:t>
      </w:r>
      <w:r w:rsidR="002B4EE0">
        <w:rPr>
          <w:rFonts w:ascii="Verdana" w:hAnsi="Verdana"/>
          <w:lang w:val="it-IT"/>
        </w:rPr>
        <w:t>le perdite della Fondazione registrate nel corso</w:t>
      </w:r>
      <w:r w:rsidR="003A2083">
        <w:rPr>
          <w:rFonts w:ascii="Verdana" w:hAnsi="Verdana"/>
          <w:lang w:val="it-IT"/>
        </w:rPr>
        <w:t xml:space="preserve"> </w:t>
      </w:r>
      <w:r w:rsidR="002B4EE0">
        <w:rPr>
          <w:rFonts w:ascii="Verdana" w:hAnsi="Verdana"/>
          <w:lang w:val="it-IT"/>
        </w:rPr>
        <w:t xml:space="preserve">dell’esercizio precedente (€ </w:t>
      </w:r>
      <w:r w:rsidR="00F525AB">
        <w:rPr>
          <w:rFonts w:ascii="Verdana" w:hAnsi="Verdana"/>
          <w:lang w:val="it-IT"/>
        </w:rPr>
        <w:t>42.245</w:t>
      </w:r>
      <w:r w:rsidR="002B4EE0">
        <w:rPr>
          <w:rFonts w:ascii="Verdana" w:hAnsi="Verdana"/>
          <w:lang w:val="it-IT"/>
        </w:rPr>
        <w:t>) sono state coperte mediante riserve di patrimonio netto</w:t>
      </w:r>
      <w:r w:rsidR="00365614">
        <w:rPr>
          <w:rFonts w:ascii="Verdana" w:hAnsi="Verdana"/>
          <w:lang w:val="it-IT"/>
        </w:rPr>
        <w:t xml:space="preserve"> e che</w:t>
      </w:r>
      <w:r w:rsidR="002B4EE0">
        <w:rPr>
          <w:rFonts w:ascii="Verdana" w:hAnsi="Verdana"/>
          <w:lang w:val="it-IT"/>
        </w:rPr>
        <w:t xml:space="preserve"> il </w:t>
      </w:r>
      <w:r w:rsidR="00F525AB">
        <w:rPr>
          <w:rFonts w:ascii="Verdana" w:hAnsi="Verdana"/>
          <w:lang w:val="it-IT"/>
        </w:rPr>
        <w:t>risultato</w:t>
      </w:r>
      <w:r w:rsidR="002B4EE0">
        <w:rPr>
          <w:rFonts w:ascii="Verdana" w:hAnsi="Verdana"/>
          <w:lang w:val="it-IT"/>
        </w:rPr>
        <w:t xml:space="preserve"> </w:t>
      </w:r>
      <w:r w:rsidR="0071420C">
        <w:rPr>
          <w:rFonts w:ascii="Verdana" w:hAnsi="Verdana"/>
          <w:lang w:val="it-IT"/>
        </w:rPr>
        <w:t>determinato prima delle imposte (+ 37.361 euro)</w:t>
      </w:r>
      <w:r w:rsidR="00E505D3">
        <w:rPr>
          <w:rFonts w:ascii="Verdana" w:hAnsi="Verdana"/>
          <w:lang w:val="it-IT"/>
        </w:rPr>
        <w:t xml:space="preserve"> </w:t>
      </w:r>
      <w:r w:rsidR="000A761F">
        <w:rPr>
          <w:rFonts w:ascii="Verdana" w:hAnsi="Verdana"/>
          <w:lang w:val="it-IT"/>
        </w:rPr>
        <w:t xml:space="preserve">evidenzia un miglioramento </w:t>
      </w:r>
      <w:r w:rsidR="0071420C">
        <w:rPr>
          <w:rFonts w:ascii="Verdana" w:hAnsi="Verdana"/>
          <w:lang w:val="it-IT"/>
        </w:rPr>
        <w:t xml:space="preserve">rispetto </w:t>
      </w:r>
      <w:r w:rsidR="0033794B">
        <w:rPr>
          <w:rFonts w:ascii="Verdana" w:hAnsi="Verdana"/>
          <w:lang w:val="it-IT"/>
        </w:rPr>
        <w:t>a quello determinato ne</w:t>
      </w:r>
      <w:r w:rsidR="0071420C">
        <w:rPr>
          <w:rFonts w:ascii="Verdana" w:hAnsi="Verdana"/>
          <w:lang w:val="it-IT"/>
        </w:rPr>
        <w:t>ll’esercizio precedente (+ 6.001 euro)</w:t>
      </w:r>
      <w:r w:rsidR="00365614">
        <w:rPr>
          <w:rFonts w:ascii="Verdana" w:hAnsi="Verdana"/>
          <w:lang w:val="it-IT"/>
        </w:rPr>
        <w:t>,</w:t>
      </w:r>
      <w:r w:rsidR="003A2083">
        <w:rPr>
          <w:rFonts w:ascii="Verdana" w:hAnsi="Verdana"/>
          <w:lang w:val="it-IT"/>
        </w:rPr>
        <w:t xml:space="preserve"> </w:t>
      </w:r>
      <w:r w:rsidR="000A761F">
        <w:rPr>
          <w:rFonts w:ascii="Verdana" w:hAnsi="Verdana"/>
          <w:lang w:val="it-IT"/>
        </w:rPr>
        <w:t>conferm</w:t>
      </w:r>
      <w:r w:rsidR="003A2083">
        <w:rPr>
          <w:rFonts w:ascii="Verdana" w:hAnsi="Verdana"/>
          <w:lang w:val="it-IT"/>
        </w:rPr>
        <w:t>ando un sostanziale equilibrio gestionale di pareggio tra i flussi di ricavi e di costo</w:t>
      </w:r>
      <w:r w:rsidR="008C30F7">
        <w:rPr>
          <w:rFonts w:ascii="Verdana" w:hAnsi="Verdana"/>
          <w:lang w:val="it-IT"/>
        </w:rPr>
        <w:t xml:space="preserve">. </w:t>
      </w:r>
    </w:p>
    <w:p w14:paraId="05BD7B35" w14:textId="77777777" w:rsidR="00BF42AD" w:rsidRDefault="00BF42AD" w:rsidP="004B4584">
      <w:pPr>
        <w:pStyle w:val="Corpotesto"/>
        <w:spacing w:before="167" w:line="360" w:lineRule="auto"/>
        <w:ind w:left="567" w:right="125"/>
        <w:jc w:val="both"/>
        <w:rPr>
          <w:rFonts w:ascii="Verdana" w:hAnsi="Verdana"/>
          <w:lang w:val="it-IT"/>
        </w:rPr>
      </w:pPr>
    </w:p>
    <w:p w14:paraId="512C4A4A" w14:textId="5CF8C60F" w:rsidR="00BF42AD" w:rsidRDefault="00BF42AD" w:rsidP="004B4584">
      <w:pPr>
        <w:pStyle w:val="Corpotesto"/>
        <w:spacing w:before="167" w:line="360" w:lineRule="auto"/>
        <w:ind w:left="567" w:right="125"/>
        <w:jc w:val="both"/>
        <w:rPr>
          <w:rFonts w:ascii="Verdana" w:hAnsi="Verdana"/>
          <w:lang w:val="it-IT"/>
        </w:rPr>
      </w:pPr>
      <w:r>
        <w:rPr>
          <w:rFonts w:ascii="Verdana" w:hAnsi="Verdana"/>
          <w:lang w:val="it-IT"/>
        </w:rPr>
        <w:t xml:space="preserve">Milano, </w:t>
      </w:r>
      <w:r w:rsidR="00F71D61">
        <w:rPr>
          <w:rFonts w:ascii="Verdana" w:hAnsi="Verdana"/>
          <w:lang w:val="it-IT"/>
        </w:rPr>
        <w:t>30 Settembre 2025</w:t>
      </w:r>
    </w:p>
    <w:p w14:paraId="2B2ACEE7" w14:textId="77777777" w:rsidR="00BF42AD" w:rsidRDefault="00BF42AD" w:rsidP="004B4584">
      <w:pPr>
        <w:pStyle w:val="Corpotesto"/>
        <w:spacing w:before="167" w:line="360" w:lineRule="auto"/>
        <w:ind w:left="567" w:right="125"/>
        <w:jc w:val="both"/>
        <w:rPr>
          <w:rFonts w:ascii="Verdana" w:hAnsi="Verdana"/>
          <w:lang w:val="it-IT"/>
        </w:rPr>
      </w:pPr>
    </w:p>
    <w:p w14:paraId="24503B7A" w14:textId="6D221436" w:rsidR="00BF42AD" w:rsidRDefault="00BF42AD" w:rsidP="004B4584">
      <w:pPr>
        <w:pStyle w:val="Corpotesto"/>
        <w:spacing w:before="167" w:line="360" w:lineRule="auto"/>
        <w:ind w:left="567" w:right="125"/>
        <w:jc w:val="both"/>
        <w:rPr>
          <w:rFonts w:ascii="Verdana" w:hAnsi="Verdana"/>
          <w:lang w:val="it-IT"/>
        </w:rPr>
      </w:pPr>
      <w:r>
        <w:rPr>
          <w:rFonts w:ascii="Verdana" w:hAnsi="Verdana"/>
          <w:lang w:val="it-IT"/>
        </w:rPr>
        <w:tab/>
      </w:r>
      <w:r>
        <w:rPr>
          <w:rFonts w:ascii="Verdana" w:hAnsi="Verdana"/>
          <w:lang w:val="it-IT"/>
        </w:rPr>
        <w:tab/>
      </w:r>
      <w:r>
        <w:rPr>
          <w:rFonts w:ascii="Verdana" w:hAnsi="Verdana"/>
          <w:lang w:val="it-IT"/>
        </w:rPr>
        <w:tab/>
      </w:r>
      <w:r>
        <w:rPr>
          <w:rFonts w:ascii="Verdana" w:hAnsi="Verdana"/>
          <w:lang w:val="it-IT"/>
        </w:rPr>
        <w:tab/>
      </w:r>
      <w:r>
        <w:rPr>
          <w:rFonts w:ascii="Verdana" w:hAnsi="Verdana"/>
          <w:lang w:val="it-IT"/>
        </w:rPr>
        <w:tab/>
      </w:r>
      <w:r>
        <w:rPr>
          <w:rFonts w:ascii="Verdana" w:hAnsi="Verdana"/>
          <w:lang w:val="it-IT"/>
        </w:rPr>
        <w:tab/>
      </w:r>
      <w:r>
        <w:rPr>
          <w:rFonts w:ascii="Verdana" w:hAnsi="Verdana"/>
          <w:lang w:val="it-IT"/>
        </w:rPr>
        <w:tab/>
      </w:r>
      <w:r>
        <w:rPr>
          <w:rFonts w:ascii="Verdana" w:hAnsi="Verdana"/>
          <w:lang w:val="it-IT"/>
        </w:rPr>
        <w:tab/>
      </w:r>
      <w:r w:rsidR="00C135FD">
        <w:rPr>
          <w:rFonts w:ascii="Verdana" w:hAnsi="Verdana"/>
          <w:lang w:val="it-IT"/>
        </w:rPr>
        <w:t>LA RETTRICE</w:t>
      </w:r>
    </w:p>
    <w:p w14:paraId="35067CB4" w14:textId="605EE52F" w:rsidR="00BF42AD" w:rsidRPr="006B7681" w:rsidRDefault="00EF2C93" w:rsidP="00EF2C93">
      <w:pPr>
        <w:pStyle w:val="Corpotesto"/>
        <w:tabs>
          <w:tab w:val="left" w:pos="5245"/>
        </w:tabs>
        <w:spacing w:before="167" w:line="360" w:lineRule="auto"/>
        <w:ind w:left="567" w:right="125"/>
        <w:jc w:val="both"/>
        <w:rPr>
          <w:rFonts w:ascii="Verdana" w:hAnsi="Verdana"/>
          <w:lang w:val="it-IT"/>
        </w:rPr>
      </w:pPr>
      <w:r>
        <w:rPr>
          <w:rFonts w:ascii="Verdana" w:hAnsi="Verdana"/>
          <w:lang w:val="it-IT"/>
        </w:rPr>
        <w:tab/>
      </w:r>
      <w:r w:rsidR="00BF42AD">
        <w:rPr>
          <w:rFonts w:ascii="Verdana" w:hAnsi="Verdana"/>
          <w:lang w:val="it-IT"/>
        </w:rPr>
        <w:t>Prof.</w:t>
      </w:r>
      <w:r>
        <w:rPr>
          <w:rFonts w:ascii="Verdana" w:hAnsi="Verdana"/>
          <w:lang w:val="it-IT"/>
        </w:rPr>
        <w:t>ssa</w:t>
      </w:r>
      <w:r w:rsidR="00BF42AD">
        <w:rPr>
          <w:rFonts w:ascii="Verdana" w:hAnsi="Verdana"/>
          <w:lang w:val="it-IT"/>
        </w:rPr>
        <w:t xml:space="preserve"> </w:t>
      </w:r>
      <w:r w:rsidR="00C135FD">
        <w:rPr>
          <w:rFonts w:ascii="Verdana" w:hAnsi="Verdana"/>
          <w:lang w:val="it-IT"/>
        </w:rPr>
        <w:t>Marina Brambilla</w:t>
      </w:r>
    </w:p>
    <w:p w14:paraId="54EAE6DF" w14:textId="77777777" w:rsidR="004C0934" w:rsidRPr="006B7681" w:rsidRDefault="004C0934">
      <w:pPr>
        <w:rPr>
          <w:lang w:val="it-IT"/>
        </w:rPr>
      </w:pPr>
    </w:p>
    <w:sectPr w:rsidR="004C0934" w:rsidRPr="006B7681" w:rsidSect="004C0934">
      <w:headerReference w:type="default" r:id="rId25"/>
      <w:footerReference w:type="default" r:id="rId2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FB73" w14:textId="77777777" w:rsidR="007E2DDD" w:rsidRDefault="007E2DDD" w:rsidP="006942D7">
      <w:r>
        <w:separator/>
      </w:r>
    </w:p>
  </w:endnote>
  <w:endnote w:type="continuationSeparator" w:id="0">
    <w:p w14:paraId="3D76216D" w14:textId="77777777" w:rsidR="007E2DDD" w:rsidRDefault="007E2DDD" w:rsidP="0069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ItalicMT">
    <w:altName w:val="Arial"/>
    <w:charset w:val="00"/>
    <w:family w:val="swiss"/>
    <w:pitch w:val="variable"/>
  </w:font>
  <w:font w:name="BauerBodoni-Roman">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E61A" w14:textId="77777777" w:rsidR="002B69FF" w:rsidRDefault="00D906DE">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4D31" w14:textId="77777777" w:rsidR="002B69FF" w:rsidRDefault="00D906DE">
    <w:pPr>
      <w:pStyle w:val="Corpotes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842E" w14:textId="77777777" w:rsidR="002B69FF" w:rsidRDefault="00D906DE">
    <w:pPr>
      <w:pStyle w:val="Corpotesto"/>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0DA" w14:textId="77777777" w:rsidR="002B69FF" w:rsidRDefault="00D906DE">
    <w:pPr>
      <w:pStyle w:val="Corpotesto"/>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2F58" w14:textId="77777777" w:rsidR="002B69FF" w:rsidRDefault="00D906DE">
    <w:pPr>
      <w:pStyle w:val="Corpotesto"/>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9B09" w14:textId="77777777" w:rsidR="002B69FF" w:rsidRDefault="00D906D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699D" w14:textId="77777777" w:rsidR="007E2DDD" w:rsidRDefault="007E2DDD" w:rsidP="006942D7">
      <w:r>
        <w:separator/>
      </w:r>
    </w:p>
  </w:footnote>
  <w:footnote w:type="continuationSeparator" w:id="0">
    <w:p w14:paraId="4F9B17CD" w14:textId="77777777" w:rsidR="007E2DDD" w:rsidRDefault="007E2DDD" w:rsidP="00694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3C2D" w14:textId="77777777" w:rsidR="002B69FF" w:rsidRDefault="00D906DE">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6089" w14:textId="77777777" w:rsidR="002B69FF" w:rsidRDefault="00D906DE">
    <w:pPr>
      <w:pStyle w:val="Corpotes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FFC7" w14:textId="77777777" w:rsidR="002B69FF" w:rsidRDefault="00D906DE">
    <w:pPr>
      <w:pStyle w:val="Corpotes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2DEC" w14:textId="77777777" w:rsidR="002B69FF" w:rsidRDefault="00D906DE">
    <w:pPr>
      <w:pStyle w:val="Corpotes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B9CE" w14:textId="77777777" w:rsidR="002B69FF" w:rsidRDefault="00D906DE">
    <w:pPr>
      <w:pStyle w:val="Corpotes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B49A" w14:textId="77777777" w:rsidR="002B69FF" w:rsidRDefault="00D906DE">
    <w:pPr>
      <w:pStyle w:val="Corpotesto"/>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DB63" w14:textId="77777777" w:rsidR="002B69FF" w:rsidRDefault="00D906DE">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576"/>
    <w:multiLevelType w:val="hybridMultilevel"/>
    <w:tmpl w:val="2AAC5FA0"/>
    <w:lvl w:ilvl="0" w:tplc="168C621E">
      <w:start w:val="1"/>
      <w:numFmt w:val="upperLetter"/>
      <w:lvlText w:val="%1."/>
      <w:lvlJc w:val="left"/>
      <w:pPr>
        <w:ind w:left="1414" w:hanging="360"/>
      </w:pPr>
      <w:rPr>
        <w:rFonts w:hint="default"/>
      </w:rPr>
    </w:lvl>
    <w:lvl w:ilvl="1" w:tplc="04100019" w:tentative="1">
      <w:start w:val="1"/>
      <w:numFmt w:val="lowerLetter"/>
      <w:lvlText w:val="%2."/>
      <w:lvlJc w:val="left"/>
      <w:pPr>
        <w:ind w:left="1967" w:hanging="360"/>
      </w:pPr>
    </w:lvl>
    <w:lvl w:ilvl="2" w:tplc="0410001B" w:tentative="1">
      <w:start w:val="1"/>
      <w:numFmt w:val="lowerRoman"/>
      <w:lvlText w:val="%3."/>
      <w:lvlJc w:val="right"/>
      <w:pPr>
        <w:ind w:left="2687" w:hanging="180"/>
      </w:pPr>
    </w:lvl>
    <w:lvl w:ilvl="3" w:tplc="0410000F" w:tentative="1">
      <w:start w:val="1"/>
      <w:numFmt w:val="decimal"/>
      <w:lvlText w:val="%4."/>
      <w:lvlJc w:val="left"/>
      <w:pPr>
        <w:ind w:left="3407" w:hanging="360"/>
      </w:pPr>
    </w:lvl>
    <w:lvl w:ilvl="4" w:tplc="04100019" w:tentative="1">
      <w:start w:val="1"/>
      <w:numFmt w:val="lowerLetter"/>
      <w:lvlText w:val="%5."/>
      <w:lvlJc w:val="left"/>
      <w:pPr>
        <w:ind w:left="4127" w:hanging="360"/>
      </w:pPr>
    </w:lvl>
    <w:lvl w:ilvl="5" w:tplc="0410001B" w:tentative="1">
      <w:start w:val="1"/>
      <w:numFmt w:val="lowerRoman"/>
      <w:lvlText w:val="%6."/>
      <w:lvlJc w:val="right"/>
      <w:pPr>
        <w:ind w:left="4847" w:hanging="180"/>
      </w:pPr>
    </w:lvl>
    <w:lvl w:ilvl="6" w:tplc="0410000F" w:tentative="1">
      <w:start w:val="1"/>
      <w:numFmt w:val="decimal"/>
      <w:lvlText w:val="%7."/>
      <w:lvlJc w:val="left"/>
      <w:pPr>
        <w:ind w:left="5567" w:hanging="360"/>
      </w:pPr>
    </w:lvl>
    <w:lvl w:ilvl="7" w:tplc="04100019" w:tentative="1">
      <w:start w:val="1"/>
      <w:numFmt w:val="lowerLetter"/>
      <w:lvlText w:val="%8."/>
      <w:lvlJc w:val="left"/>
      <w:pPr>
        <w:ind w:left="6287" w:hanging="360"/>
      </w:pPr>
    </w:lvl>
    <w:lvl w:ilvl="8" w:tplc="0410001B" w:tentative="1">
      <w:start w:val="1"/>
      <w:numFmt w:val="lowerRoman"/>
      <w:lvlText w:val="%9."/>
      <w:lvlJc w:val="right"/>
      <w:pPr>
        <w:ind w:left="7007" w:hanging="180"/>
      </w:pPr>
    </w:lvl>
  </w:abstractNum>
  <w:abstractNum w:abstractNumId="1" w15:restartNumberingAfterBreak="0">
    <w:nsid w:val="0A19100F"/>
    <w:multiLevelType w:val="hybridMultilevel"/>
    <w:tmpl w:val="90D84B54"/>
    <w:lvl w:ilvl="0" w:tplc="AF806936">
      <w:start w:val="4"/>
      <w:numFmt w:val="bullet"/>
      <w:lvlText w:val="-"/>
      <w:lvlJc w:val="left"/>
      <w:pPr>
        <w:ind w:left="1607" w:hanging="360"/>
      </w:pPr>
      <w:rPr>
        <w:rFonts w:ascii="Verdana" w:eastAsia="Cambria" w:hAnsi="Verdana" w:cs="Cambria" w:hint="default"/>
      </w:rPr>
    </w:lvl>
    <w:lvl w:ilvl="1" w:tplc="04100003">
      <w:start w:val="1"/>
      <w:numFmt w:val="bullet"/>
      <w:lvlText w:val="o"/>
      <w:lvlJc w:val="left"/>
      <w:pPr>
        <w:ind w:left="2327" w:hanging="360"/>
      </w:pPr>
      <w:rPr>
        <w:rFonts w:ascii="Courier New" w:hAnsi="Courier New" w:cs="Courier New" w:hint="default"/>
      </w:rPr>
    </w:lvl>
    <w:lvl w:ilvl="2" w:tplc="04100005" w:tentative="1">
      <w:start w:val="1"/>
      <w:numFmt w:val="bullet"/>
      <w:lvlText w:val=""/>
      <w:lvlJc w:val="left"/>
      <w:pPr>
        <w:ind w:left="3047" w:hanging="360"/>
      </w:pPr>
      <w:rPr>
        <w:rFonts w:ascii="Wingdings" w:hAnsi="Wingdings" w:hint="default"/>
      </w:rPr>
    </w:lvl>
    <w:lvl w:ilvl="3" w:tplc="04100001" w:tentative="1">
      <w:start w:val="1"/>
      <w:numFmt w:val="bullet"/>
      <w:lvlText w:val=""/>
      <w:lvlJc w:val="left"/>
      <w:pPr>
        <w:ind w:left="3767" w:hanging="360"/>
      </w:pPr>
      <w:rPr>
        <w:rFonts w:ascii="Symbol" w:hAnsi="Symbol" w:hint="default"/>
      </w:rPr>
    </w:lvl>
    <w:lvl w:ilvl="4" w:tplc="04100003" w:tentative="1">
      <w:start w:val="1"/>
      <w:numFmt w:val="bullet"/>
      <w:lvlText w:val="o"/>
      <w:lvlJc w:val="left"/>
      <w:pPr>
        <w:ind w:left="4487" w:hanging="360"/>
      </w:pPr>
      <w:rPr>
        <w:rFonts w:ascii="Courier New" w:hAnsi="Courier New" w:cs="Courier New" w:hint="default"/>
      </w:rPr>
    </w:lvl>
    <w:lvl w:ilvl="5" w:tplc="04100005" w:tentative="1">
      <w:start w:val="1"/>
      <w:numFmt w:val="bullet"/>
      <w:lvlText w:val=""/>
      <w:lvlJc w:val="left"/>
      <w:pPr>
        <w:ind w:left="5207" w:hanging="360"/>
      </w:pPr>
      <w:rPr>
        <w:rFonts w:ascii="Wingdings" w:hAnsi="Wingdings" w:hint="default"/>
      </w:rPr>
    </w:lvl>
    <w:lvl w:ilvl="6" w:tplc="04100001" w:tentative="1">
      <w:start w:val="1"/>
      <w:numFmt w:val="bullet"/>
      <w:lvlText w:val=""/>
      <w:lvlJc w:val="left"/>
      <w:pPr>
        <w:ind w:left="5927" w:hanging="360"/>
      </w:pPr>
      <w:rPr>
        <w:rFonts w:ascii="Symbol" w:hAnsi="Symbol" w:hint="default"/>
      </w:rPr>
    </w:lvl>
    <w:lvl w:ilvl="7" w:tplc="04100003" w:tentative="1">
      <w:start w:val="1"/>
      <w:numFmt w:val="bullet"/>
      <w:lvlText w:val="o"/>
      <w:lvlJc w:val="left"/>
      <w:pPr>
        <w:ind w:left="6647" w:hanging="360"/>
      </w:pPr>
      <w:rPr>
        <w:rFonts w:ascii="Courier New" w:hAnsi="Courier New" w:cs="Courier New" w:hint="default"/>
      </w:rPr>
    </w:lvl>
    <w:lvl w:ilvl="8" w:tplc="04100005" w:tentative="1">
      <w:start w:val="1"/>
      <w:numFmt w:val="bullet"/>
      <w:lvlText w:val=""/>
      <w:lvlJc w:val="left"/>
      <w:pPr>
        <w:ind w:left="7367" w:hanging="360"/>
      </w:pPr>
      <w:rPr>
        <w:rFonts w:ascii="Wingdings" w:hAnsi="Wingdings" w:hint="default"/>
      </w:rPr>
    </w:lvl>
  </w:abstractNum>
  <w:abstractNum w:abstractNumId="2" w15:restartNumberingAfterBreak="0">
    <w:nsid w:val="1EBE0380"/>
    <w:multiLevelType w:val="hybridMultilevel"/>
    <w:tmpl w:val="0854CC8A"/>
    <w:lvl w:ilvl="0" w:tplc="1972723C">
      <w:start w:val="1"/>
      <w:numFmt w:val="lowerLetter"/>
      <w:lvlText w:val="%1)"/>
      <w:lvlJc w:val="left"/>
      <w:pPr>
        <w:ind w:left="887" w:hanging="360"/>
      </w:pPr>
      <w:rPr>
        <w:rFonts w:hint="default"/>
      </w:rPr>
    </w:lvl>
    <w:lvl w:ilvl="1" w:tplc="799E12C6">
      <w:start w:val="1"/>
      <w:numFmt w:val="lowerLetter"/>
      <w:lvlText w:val="%2)"/>
      <w:lvlJc w:val="left"/>
      <w:pPr>
        <w:ind w:left="1712" w:hanging="465"/>
      </w:pPr>
      <w:rPr>
        <w:rFonts w:hint="default"/>
      </w:rPr>
    </w:lvl>
    <w:lvl w:ilvl="2" w:tplc="0410001B" w:tentative="1">
      <w:start w:val="1"/>
      <w:numFmt w:val="lowerRoman"/>
      <w:lvlText w:val="%3."/>
      <w:lvlJc w:val="right"/>
      <w:pPr>
        <w:ind w:left="2327" w:hanging="180"/>
      </w:pPr>
    </w:lvl>
    <w:lvl w:ilvl="3" w:tplc="0410000F" w:tentative="1">
      <w:start w:val="1"/>
      <w:numFmt w:val="decimal"/>
      <w:lvlText w:val="%4."/>
      <w:lvlJc w:val="left"/>
      <w:pPr>
        <w:ind w:left="3047" w:hanging="360"/>
      </w:pPr>
    </w:lvl>
    <w:lvl w:ilvl="4" w:tplc="04100019" w:tentative="1">
      <w:start w:val="1"/>
      <w:numFmt w:val="lowerLetter"/>
      <w:lvlText w:val="%5."/>
      <w:lvlJc w:val="left"/>
      <w:pPr>
        <w:ind w:left="3767" w:hanging="360"/>
      </w:pPr>
    </w:lvl>
    <w:lvl w:ilvl="5" w:tplc="0410001B" w:tentative="1">
      <w:start w:val="1"/>
      <w:numFmt w:val="lowerRoman"/>
      <w:lvlText w:val="%6."/>
      <w:lvlJc w:val="right"/>
      <w:pPr>
        <w:ind w:left="4487" w:hanging="180"/>
      </w:pPr>
    </w:lvl>
    <w:lvl w:ilvl="6" w:tplc="0410000F" w:tentative="1">
      <w:start w:val="1"/>
      <w:numFmt w:val="decimal"/>
      <w:lvlText w:val="%7."/>
      <w:lvlJc w:val="left"/>
      <w:pPr>
        <w:ind w:left="5207" w:hanging="360"/>
      </w:pPr>
    </w:lvl>
    <w:lvl w:ilvl="7" w:tplc="04100019" w:tentative="1">
      <w:start w:val="1"/>
      <w:numFmt w:val="lowerLetter"/>
      <w:lvlText w:val="%8."/>
      <w:lvlJc w:val="left"/>
      <w:pPr>
        <w:ind w:left="5927" w:hanging="360"/>
      </w:pPr>
    </w:lvl>
    <w:lvl w:ilvl="8" w:tplc="0410001B" w:tentative="1">
      <w:start w:val="1"/>
      <w:numFmt w:val="lowerRoman"/>
      <w:lvlText w:val="%9."/>
      <w:lvlJc w:val="right"/>
      <w:pPr>
        <w:ind w:left="6647" w:hanging="180"/>
      </w:pPr>
    </w:lvl>
  </w:abstractNum>
  <w:abstractNum w:abstractNumId="3" w15:restartNumberingAfterBreak="0">
    <w:nsid w:val="2C8E7688"/>
    <w:multiLevelType w:val="hybridMultilevel"/>
    <w:tmpl w:val="A6E8BC98"/>
    <w:lvl w:ilvl="0" w:tplc="AF806936">
      <w:start w:val="4"/>
      <w:numFmt w:val="bullet"/>
      <w:lvlText w:val="-"/>
      <w:lvlJc w:val="left"/>
      <w:pPr>
        <w:ind w:left="887" w:hanging="360"/>
      </w:pPr>
      <w:rPr>
        <w:rFonts w:ascii="Verdana" w:eastAsia="Cambria" w:hAnsi="Verdana" w:cs="Cambria" w:hint="default"/>
      </w:rPr>
    </w:lvl>
    <w:lvl w:ilvl="1" w:tplc="04100003" w:tentative="1">
      <w:start w:val="1"/>
      <w:numFmt w:val="bullet"/>
      <w:lvlText w:val="o"/>
      <w:lvlJc w:val="left"/>
      <w:pPr>
        <w:ind w:left="1607" w:hanging="360"/>
      </w:pPr>
      <w:rPr>
        <w:rFonts w:ascii="Courier New" w:hAnsi="Courier New" w:cs="Courier New" w:hint="default"/>
      </w:rPr>
    </w:lvl>
    <w:lvl w:ilvl="2" w:tplc="04100005" w:tentative="1">
      <w:start w:val="1"/>
      <w:numFmt w:val="bullet"/>
      <w:lvlText w:val=""/>
      <w:lvlJc w:val="left"/>
      <w:pPr>
        <w:ind w:left="2327" w:hanging="360"/>
      </w:pPr>
      <w:rPr>
        <w:rFonts w:ascii="Wingdings" w:hAnsi="Wingdings" w:hint="default"/>
      </w:rPr>
    </w:lvl>
    <w:lvl w:ilvl="3" w:tplc="04100001" w:tentative="1">
      <w:start w:val="1"/>
      <w:numFmt w:val="bullet"/>
      <w:lvlText w:val=""/>
      <w:lvlJc w:val="left"/>
      <w:pPr>
        <w:ind w:left="3047" w:hanging="360"/>
      </w:pPr>
      <w:rPr>
        <w:rFonts w:ascii="Symbol" w:hAnsi="Symbol" w:hint="default"/>
      </w:rPr>
    </w:lvl>
    <w:lvl w:ilvl="4" w:tplc="04100003" w:tentative="1">
      <w:start w:val="1"/>
      <w:numFmt w:val="bullet"/>
      <w:lvlText w:val="o"/>
      <w:lvlJc w:val="left"/>
      <w:pPr>
        <w:ind w:left="3767" w:hanging="360"/>
      </w:pPr>
      <w:rPr>
        <w:rFonts w:ascii="Courier New" w:hAnsi="Courier New" w:cs="Courier New" w:hint="default"/>
      </w:rPr>
    </w:lvl>
    <w:lvl w:ilvl="5" w:tplc="04100005" w:tentative="1">
      <w:start w:val="1"/>
      <w:numFmt w:val="bullet"/>
      <w:lvlText w:val=""/>
      <w:lvlJc w:val="left"/>
      <w:pPr>
        <w:ind w:left="4487" w:hanging="360"/>
      </w:pPr>
      <w:rPr>
        <w:rFonts w:ascii="Wingdings" w:hAnsi="Wingdings" w:hint="default"/>
      </w:rPr>
    </w:lvl>
    <w:lvl w:ilvl="6" w:tplc="04100001" w:tentative="1">
      <w:start w:val="1"/>
      <w:numFmt w:val="bullet"/>
      <w:lvlText w:val=""/>
      <w:lvlJc w:val="left"/>
      <w:pPr>
        <w:ind w:left="5207" w:hanging="360"/>
      </w:pPr>
      <w:rPr>
        <w:rFonts w:ascii="Symbol" w:hAnsi="Symbol" w:hint="default"/>
      </w:rPr>
    </w:lvl>
    <w:lvl w:ilvl="7" w:tplc="04100003" w:tentative="1">
      <w:start w:val="1"/>
      <w:numFmt w:val="bullet"/>
      <w:lvlText w:val="o"/>
      <w:lvlJc w:val="left"/>
      <w:pPr>
        <w:ind w:left="5927" w:hanging="360"/>
      </w:pPr>
      <w:rPr>
        <w:rFonts w:ascii="Courier New" w:hAnsi="Courier New" w:cs="Courier New" w:hint="default"/>
      </w:rPr>
    </w:lvl>
    <w:lvl w:ilvl="8" w:tplc="04100005" w:tentative="1">
      <w:start w:val="1"/>
      <w:numFmt w:val="bullet"/>
      <w:lvlText w:val=""/>
      <w:lvlJc w:val="left"/>
      <w:pPr>
        <w:ind w:left="6647" w:hanging="360"/>
      </w:pPr>
      <w:rPr>
        <w:rFonts w:ascii="Wingdings" w:hAnsi="Wingdings" w:hint="default"/>
      </w:rPr>
    </w:lvl>
  </w:abstractNum>
  <w:abstractNum w:abstractNumId="4" w15:restartNumberingAfterBreak="0">
    <w:nsid w:val="2EFC303E"/>
    <w:multiLevelType w:val="hybridMultilevel"/>
    <w:tmpl w:val="B00A0E42"/>
    <w:lvl w:ilvl="0" w:tplc="168C621E">
      <w:start w:val="1"/>
      <w:numFmt w:val="upperLetter"/>
      <w:lvlText w:val="%1."/>
      <w:lvlJc w:val="left"/>
      <w:pPr>
        <w:ind w:left="887" w:hanging="360"/>
      </w:pPr>
      <w:rPr>
        <w:rFonts w:hint="default"/>
      </w:rPr>
    </w:lvl>
    <w:lvl w:ilvl="1" w:tplc="04100019" w:tentative="1">
      <w:start w:val="1"/>
      <w:numFmt w:val="lowerLetter"/>
      <w:lvlText w:val="%2."/>
      <w:lvlJc w:val="left"/>
      <w:pPr>
        <w:ind w:left="1607" w:hanging="360"/>
      </w:pPr>
    </w:lvl>
    <w:lvl w:ilvl="2" w:tplc="0410001B" w:tentative="1">
      <w:start w:val="1"/>
      <w:numFmt w:val="lowerRoman"/>
      <w:lvlText w:val="%3."/>
      <w:lvlJc w:val="right"/>
      <w:pPr>
        <w:ind w:left="2327" w:hanging="180"/>
      </w:pPr>
    </w:lvl>
    <w:lvl w:ilvl="3" w:tplc="0410000F" w:tentative="1">
      <w:start w:val="1"/>
      <w:numFmt w:val="decimal"/>
      <w:lvlText w:val="%4."/>
      <w:lvlJc w:val="left"/>
      <w:pPr>
        <w:ind w:left="3047" w:hanging="360"/>
      </w:pPr>
    </w:lvl>
    <w:lvl w:ilvl="4" w:tplc="04100019" w:tentative="1">
      <w:start w:val="1"/>
      <w:numFmt w:val="lowerLetter"/>
      <w:lvlText w:val="%5."/>
      <w:lvlJc w:val="left"/>
      <w:pPr>
        <w:ind w:left="3767" w:hanging="360"/>
      </w:pPr>
    </w:lvl>
    <w:lvl w:ilvl="5" w:tplc="0410001B" w:tentative="1">
      <w:start w:val="1"/>
      <w:numFmt w:val="lowerRoman"/>
      <w:lvlText w:val="%6."/>
      <w:lvlJc w:val="right"/>
      <w:pPr>
        <w:ind w:left="4487" w:hanging="180"/>
      </w:pPr>
    </w:lvl>
    <w:lvl w:ilvl="6" w:tplc="0410000F" w:tentative="1">
      <w:start w:val="1"/>
      <w:numFmt w:val="decimal"/>
      <w:lvlText w:val="%7."/>
      <w:lvlJc w:val="left"/>
      <w:pPr>
        <w:ind w:left="5207" w:hanging="360"/>
      </w:pPr>
    </w:lvl>
    <w:lvl w:ilvl="7" w:tplc="04100019" w:tentative="1">
      <w:start w:val="1"/>
      <w:numFmt w:val="lowerLetter"/>
      <w:lvlText w:val="%8."/>
      <w:lvlJc w:val="left"/>
      <w:pPr>
        <w:ind w:left="5927" w:hanging="360"/>
      </w:pPr>
    </w:lvl>
    <w:lvl w:ilvl="8" w:tplc="0410001B" w:tentative="1">
      <w:start w:val="1"/>
      <w:numFmt w:val="lowerRoman"/>
      <w:lvlText w:val="%9."/>
      <w:lvlJc w:val="right"/>
      <w:pPr>
        <w:ind w:left="6647" w:hanging="180"/>
      </w:pPr>
    </w:lvl>
  </w:abstractNum>
  <w:abstractNum w:abstractNumId="5" w15:restartNumberingAfterBreak="0">
    <w:nsid w:val="346D6CF3"/>
    <w:multiLevelType w:val="hybridMultilevel"/>
    <w:tmpl w:val="F4DE89D8"/>
    <w:lvl w:ilvl="0" w:tplc="AF806936">
      <w:start w:val="4"/>
      <w:numFmt w:val="bullet"/>
      <w:lvlText w:val="-"/>
      <w:lvlJc w:val="left"/>
      <w:pPr>
        <w:ind w:left="1414" w:hanging="360"/>
      </w:pPr>
      <w:rPr>
        <w:rFonts w:ascii="Verdana" w:eastAsia="Cambria" w:hAnsi="Verdana" w:cs="Cambria" w:hint="default"/>
      </w:rPr>
    </w:lvl>
    <w:lvl w:ilvl="1" w:tplc="04100003" w:tentative="1">
      <w:start w:val="1"/>
      <w:numFmt w:val="bullet"/>
      <w:lvlText w:val="o"/>
      <w:lvlJc w:val="left"/>
      <w:pPr>
        <w:ind w:left="1967" w:hanging="360"/>
      </w:pPr>
      <w:rPr>
        <w:rFonts w:ascii="Courier New" w:hAnsi="Courier New" w:cs="Courier New" w:hint="default"/>
      </w:rPr>
    </w:lvl>
    <w:lvl w:ilvl="2" w:tplc="04100005" w:tentative="1">
      <w:start w:val="1"/>
      <w:numFmt w:val="bullet"/>
      <w:lvlText w:val=""/>
      <w:lvlJc w:val="left"/>
      <w:pPr>
        <w:ind w:left="2687" w:hanging="360"/>
      </w:pPr>
      <w:rPr>
        <w:rFonts w:ascii="Wingdings" w:hAnsi="Wingdings" w:hint="default"/>
      </w:rPr>
    </w:lvl>
    <w:lvl w:ilvl="3" w:tplc="04100001" w:tentative="1">
      <w:start w:val="1"/>
      <w:numFmt w:val="bullet"/>
      <w:lvlText w:val=""/>
      <w:lvlJc w:val="left"/>
      <w:pPr>
        <w:ind w:left="3407" w:hanging="360"/>
      </w:pPr>
      <w:rPr>
        <w:rFonts w:ascii="Symbol" w:hAnsi="Symbol" w:hint="default"/>
      </w:rPr>
    </w:lvl>
    <w:lvl w:ilvl="4" w:tplc="04100003" w:tentative="1">
      <w:start w:val="1"/>
      <w:numFmt w:val="bullet"/>
      <w:lvlText w:val="o"/>
      <w:lvlJc w:val="left"/>
      <w:pPr>
        <w:ind w:left="4127" w:hanging="360"/>
      </w:pPr>
      <w:rPr>
        <w:rFonts w:ascii="Courier New" w:hAnsi="Courier New" w:cs="Courier New" w:hint="default"/>
      </w:rPr>
    </w:lvl>
    <w:lvl w:ilvl="5" w:tplc="04100005" w:tentative="1">
      <w:start w:val="1"/>
      <w:numFmt w:val="bullet"/>
      <w:lvlText w:val=""/>
      <w:lvlJc w:val="left"/>
      <w:pPr>
        <w:ind w:left="4847" w:hanging="360"/>
      </w:pPr>
      <w:rPr>
        <w:rFonts w:ascii="Wingdings" w:hAnsi="Wingdings" w:hint="default"/>
      </w:rPr>
    </w:lvl>
    <w:lvl w:ilvl="6" w:tplc="04100001" w:tentative="1">
      <w:start w:val="1"/>
      <w:numFmt w:val="bullet"/>
      <w:lvlText w:val=""/>
      <w:lvlJc w:val="left"/>
      <w:pPr>
        <w:ind w:left="5567" w:hanging="360"/>
      </w:pPr>
      <w:rPr>
        <w:rFonts w:ascii="Symbol" w:hAnsi="Symbol" w:hint="default"/>
      </w:rPr>
    </w:lvl>
    <w:lvl w:ilvl="7" w:tplc="04100003" w:tentative="1">
      <w:start w:val="1"/>
      <w:numFmt w:val="bullet"/>
      <w:lvlText w:val="o"/>
      <w:lvlJc w:val="left"/>
      <w:pPr>
        <w:ind w:left="6287" w:hanging="360"/>
      </w:pPr>
      <w:rPr>
        <w:rFonts w:ascii="Courier New" w:hAnsi="Courier New" w:cs="Courier New" w:hint="default"/>
      </w:rPr>
    </w:lvl>
    <w:lvl w:ilvl="8" w:tplc="04100005" w:tentative="1">
      <w:start w:val="1"/>
      <w:numFmt w:val="bullet"/>
      <w:lvlText w:val=""/>
      <w:lvlJc w:val="left"/>
      <w:pPr>
        <w:ind w:left="7007" w:hanging="360"/>
      </w:pPr>
      <w:rPr>
        <w:rFonts w:ascii="Wingdings" w:hAnsi="Wingdings" w:hint="default"/>
      </w:rPr>
    </w:lvl>
  </w:abstractNum>
  <w:abstractNum w:abstractNumId="6" w15:restartNumberingAfterBreak="0">
    <w:nsid w:val="3FDF0358"/>
    <w:multiLevelType w:val="hybridMultilevel"/>
    <w:tmpl w:val="9CA01768"/>
    <w:lvl w:ilvl="0" w:tplc="04100001">
      <w:start w:val="1"/>
      <w:numFmt w:val="bullet"/>
      <w:lvlText w:val=""/>
      <w:lvlJc w:val="left"/>
      <w:pPr>
        <w:ind w:left="1247" w:hanging="360"/>
      </w:pPr>
      <w:rPr>
        <w:rFonts w:ascii="Symbol" w:hAnsi="Symbol" w:hint="default"/>
      </w:rPr>
    </w:lvl>
    <w:lvl w:ilvl="1" w:tplc="04100003" w:tentative="1">
      <w:start w:val="1"/>
      <w:numFmt w:val="bullet"/>
      <w:lvlText w:val="o"/>
      <w:lvlJc w:val="left"/>
      <w:pPr>
        <w:ind w:left="1967" w:hanging="360"/>
      </w:pPr>
      <w:rPr>
        <w:rFonts w:ascii="Courier New" w:hAnsi="Courier New" w:cs="Courier New" w:hint="default"/>
      </w:rPr>
    </w:lvl>
    <w:lvl w:ilvl="2" w:tplc="04100005" w:tentative="1">
      <w:start w:val="1"/>
      <w:numFmt w:val="bullet"/>
      <w:lvlText w:val=""/>
      <w:lvlJc w:val="left"/>
      <w:pPr>
        <w:ind w:left="2687" w:hanging="360"/>
      </w:pPr>
      <w:rPr>
        <w:rFonts w:ascii="Wingdings" w:hAnsi="Wingdings" w:hint="default"/>
      </w:rPr>
    </w:lvl>
    <w:lvl w:ilvl="3" w:tplc="04100001" w:tentative="1">
      <w:start w:val="1"/>
      <w:numFmt w:val="bullet"/>
      <w:lvlText w:val=""/>
      <w:lvlJc w:val="left"/>
      <w:pPr>
        <w:ind w:left="3407" w:hanging="360"/>
      </w:pPr>
      <w:rPr>
        <w:rFonts w:ascii="Symbol" w:hAnsi="Symbol" w:hint="default"/>
      </w:rPr>
    </w:lvl>
    <w:lvl w:ilvl="4" w:tplc="04100003" w:tentative="1">
      <w:start w:val="1"/>
      <w:numFmt w:val="bullet"/>
      <w:lvlText w:val="o"/>
      <w:lvlJc w:val="left"/>
      <w:pPr>
        <w:ind w:left="4127" w:hanging="360"/>
      </w:pPr>
      <w:rPr>
        <w:rFonts w:ascii="Courier New" w:hAnsi="Courier New" w:cs="Courier New" w:hint="default"/>
      </w:rPr>
    </w:lvl>
    <w:lvl w:ilvl="5" w:tplc="04100005" w:tentative="1">
      <w:start w:val="1"/>
      <w:numFmt w:val="bullet"/>
      <w:lvlText w:val=""/>
      <w:lvlJc w:val="left"/>
      <w:pPr>
        <w:ind w:left="4847" w:hanging="360"/>
      </w:pPr>
      <w:rPr>
        <w:rFonts w:ascii="Wingdings" w:hAnsi="Wingdings" w:hint="default"/>
      </w:rPr>
    </w:lvl>
    <w:lvl w:ilvl="6" w:tplc="04100001" w:tentative="1">
      <w:start w:val="1"/>
      <w:numFmt w:val="bullet"/>
      <w:lvlText w:val=""/>
      <w:lvlJc w:val="left"/>
      <w:pPr>
        <w:ind w:left="5567" w:hanging="360"/>
      </w:pPr>
      <w:rPr>
        <w:rFonts w:ascii="Symbol" w:hAnsi="Symbol" w:hint="default"/>
      </w:rPr>
    </w:lvl>
    <w:lvl w:ilvl="7" w:tplc="04100003" w:tentative="1">
      <w:start w:val="1"/>
      <w:numFmt w:val="bullet"/>
      <w:lvlText w:val="o"/>
      <w:lvlJc w:val="left"/>
      <w:pPr>
        <w:ind w:left="6287" w:hanging="360"/>
      </w:pPr>
      <w:rPr>
        <w:rFonts w:ascii="Courier New" w:hAnsi="Courier New" w:cs="Courier New" w:hint="default"/>
      </w:rPr>
    </w:lvl>
    <w:lvl w:ilvl="8" w:tplc="04100005" w:tentative="1">
      <w:start w:val="1"/>
      <w:numFmt w:val="bullet"/>
      <w:lvlText w:val=""/>
      <w:lvlJc w:val="left"/>
      <w:pPr>
        <w:ind w:left="7007" w:hanging="360"/>
      </w:pPr>
      <w:rPr>
        <w:rFonts w:ascii="Wingdings" w:hAnsi="Wingdings" w:hint="default"/>
      </w:rPr>
    </w:lvl>
  </w:abstractNum>
  <w:abstractNum w:abstractNumId="7" w15:restartNumberingAfterBreak="0">
    <w:nsid w:val="589045FA"/>
    <w:multiLevelType w:val="hybridMultilevel"/>
    <w:tmpl w:val="9E12C1C0"/>
    <w:lvl w:ilvl="0" w:tplc="AF806936">
      <w:start w:val="4"/>
      <w:numFmt w:val="bullet"/>
      <w:lvlText w:val="-"/>
      <w:lvlJc w:val="left"/>
      <w:pPr>
        <w:ind w:left="1414" w:hanging="360"/>
      </w:pPr>
      <w:rPr>
        <w:rFonts w:ascii="Verdana" w:eastAsia="Cambria" w:hAnsi="Verdana" w:cs="Cambria" w:hint="default"/>
      </w:rPr>
    </w:lvl>
    <w:lvl w:ilvl="1" w:tplc="04100003" w:tentative="1">
      <w:start w:val="1"/>
      <w:numFmt w:val="bullet"/>
      <w:lvlText w:val="o"/>
      <w:lvlJc w:val="left"/>
      <w:pPr>
        <w:ind w:left="1967" w:hanging="360"/>
      </w:pPr>
      <w:rPr>
        <w:rFonts w:ascii="Courier New" w:hAnsi="Courier New" w:cs="Courier New" w:hint="default"/>
      </w:rPr>
    </w:lvl>
    <w:lvl w:ilvl="2" w:tplc="04100005" w:tentative="1">
      <w:start w:val="1"/>
      <w:numFmt w:val="bullet"/>
      <w:lvlText w:val=""/>
      <w:lvlJc w:val="left"/>
      <w:pPr>
        <w:ind w:left="2687" w:hanging="360"/>
      </w:pPr>
      <w:rPr>
        <w:rFonts w:ascii="Wingdings" w:hAnsi="Wingdings" w:hint="default"/>
      </w:rPr>
    </w:lvl>
    <w:lvl w:ilvl="3" w:tplc="04100001" w:tentative="1">
      <w:start w:val="1"/>
      <w:numFmt w:val="bullet"/>
      <w:lvlText w:val=""/>
      <w:lvlJc w:val="left"/>
      <w:pPr>
        <w:ind w:left="3407" w:hanging="360"/>
      </w:pPr>
      <w:rPr>
        <w:rFonts w:ascii="Symbol" w:hAnsi="Symbol" w:hint="default"/>
      </w:rPr>
    </w:lvl>
    <w:lvl w:ilvl="4" w:tplc="04100003" w:tentative="1">
      <w:start w:val="1"/>
      <w:numFmt w:val="bullet"/>
      <w:lvlText w:val="o"/>
      <w:lvlJc w:val="left"/>
      <w:pPr>
        <w:ind w:left="4127" w:hanging="360"/>
      </w:pPr>
      <w:rPr>
        <w:rFonts w:ascii="Courier New" w:hAnsi="Courier New" w:cs="Courier New" w:hint="default"/>
      </w:rPr>
    </w:lvl>
    <w:lvl w:ilvl="5" w:tplc="04100005" w:tentative="1">
      <w:start w:val="1"/>
      <w:numFmt w:val="bullet"/>
      <w:lvlText w:val=""/>
      <w:lvlJc w:val="left"/>
      <w:pPr>
        <w:ind w:left="4847" w:hanging="360"/>
      </w:pPr>
      <w:rPr>
        <w:rFonts w:ascii="Wingdings" w:hAnsi="Wingdings" w:hint="default"/>
      </w:rPr>
    </w:lvl>
    <w:lvl w:ilvl="6" w:tplc="04100001" w:tentative="1">
      <w:start w:val="1"/>
      <w:numFmt w:val="bullet"/>
      <w:lvlText w:val=""/>
      <w:lvlJc w:val="left"/>
      <w:pPr>
        <w:ind w:left="5567" w:hanging="360"/>
      </w:pPr>
      <w:rPr>
        <w:rFonts w:ascii="Symbol" w:hAnsi="Symbol" w:hint="default"/>
      </w:rPr>
    </w:lvl>
    <w:lvl w:ilvl="7" w:tplc="04100003" w:tentative="1">
      <w:start w:val="1"/>
      <w:numFmt w:val="bullet"/>
      <w:lvlText w:val="o"/>
      <w:lvlJc w:val="left"/>
      <w:pPr>
        <w:ind w:left="6287" w:hanging="360"/>
      </w:pPr>
      <w:rPr>
        <w:rFonts w:ascii="Courier New" w:hAnsi="Courier New" w:cs="Courier New" w:hint="default"/>
      </w:rPr>
    </w:lvl>
    <w:lvl w:ilvl="8" w:tplc="04100005" w:tentative="1">
      <w:start w:val="1"/>
      <w:numFmt w:val="bullet"/>
      <w:lvlText w:val=""/>
      <w:lvlJc w:val="left"/>
      <w:pPr>
        <w:ind w:left="7007" w:hanging="360"/>
      </w:pPr>
      <w:rPr>
        <w:rFonts w:ascii="Wingdings" w:hAnsi="Wingdings" w:hint="default"/>
      </w:rPr>
    </w:lvl>
  </w:abstractNum>
  <w:abstractNum w:abstractNumId="8" w15:restartNumberingAfterBreak="0">
    <w:nsid w:val="5D414A48"/>
    <w:multiLevelType w:val="hybridMultilevel"/>
    <w:tmpl w:val="E432EAC0"/>
    <w:lvl w:ilvl="0" w:tplc="04100001">
      <w:start w:val="1"/>
      <w:numFmt w:val="bullet"/>
      <w:lvlText w:val=""/>
      <w:lvlJc w:val="left"/>
      <w:pPr>
        <w:ind w:left="2138" w:hanging="360"/>
      </w:pPr>
      <w:rPr>
        <w:rFonts w:ascii="Symbol" w:hAnsi="Symbol" w:hint="default"/>
      </w:rPr>
    </w:lvl>
    <w:lvl w:ilvl="1" w:tplc="04100003">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9" w15:restartNumberingAfterBreak="0">
    <w:nsid w:val="70A5321B"/>
    <w:multiLevelType w:val="hybridMultilevel"/>
    <w:tmpl w:val="C2D4E426"/>
    <w:lvl w:ilvl="0" w:tplc="04100003">
      <w:start w:val="1"/>
      <w:numFmt w:val="bullet"/>
      <w:lvlText w:val="o"/>
      <w:lvlJc w:val="left"/>
      <w:pPr>
        <w:ind w:left="2138" w:hanging="360"/>
      </w:pPr>
      <w:rPr>
        <w:rFonts w:ascii="Courier New" w:hAnsi="Courier New" w:cs="Courier New"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0"/>
  </w:num>
  <w:num w:numId="6">
    <w:abstractNumId w:val="7"/>
  </w:num>
  <w:num w:numId="7">
    <w:abstractNumId w:val="2"/>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584"/>
    <w:rsid w:val="00030BDE"/>
    <w:rsid w:val="000429C5"/>
    <w:rsid w:val="0004452E"/>
    <w:rsid w:val="000670C6"/>
    <w:rsid w:val="00087365"/>
    <w:rsid w:val="00095AE2"/>
    <w:rsid w:val="000A1C06"/>
    <w:rsid w:val="000A1CA8"/>
    <w:rsid w:val="000A761F"/>
    <w:rsid w:val="001006E9"/>
    <w:rsid w:val="00117DD2"/>
    <w:rsid w:val="00122431"/>
    <w:rsid w:val="00126195"/>
    <w:rsid w:val="0012717A"/>
    <w:rsid w:val="001540C1"/>
    <w:rsid w:val="0016337A"/>
    <w:rsid w:val="0018258F"/>
    <w:rsid w:val="001A5B5E"/>
    <w:rsid w:val="001C389F"/>
    <w:rsid w:val="001E22E0"/>
    <w:rsid w:val="001E4F20"/>
    <w:rsid w:val="001F4466"/>
    <w:rsid w:val="001F52F0"/>
    <w:rsid w:val="0022007F"/>
    <w:rsid w:val="00220906"/>
    <w:rsid w:val="00223F82"/>
    <w:rsid w:val="00227DB5"/>
    <w:rsid w:val="00261F35"/>
    <w:rsid w:val="00262550"/>
    <w:rsid w:val="00263F24"/>
    <w:rsid w:val="00266718"/>
    <w:rsid w:val="002721E8"/>
    <w:rsid w:val="00276A8E"/>
    <w:rsid w:val="00281E9A"/>
    <w:rsid w:val="002961E5"/>
    <w:rsid w:val="002B4EE0"/>
    <w:rsid w:val="002E5AED"/>
    <w:rsid w:val="002E5D2D"/>
    <w:rsid w:val="0031039B"/>
    <w:rsid w:val="00314080"/>
    <w:rsid w:val="0033794B"/>
    <w:rsid w:val="003453DB"/>
    <w:rsid w:val="00361D49"/>
    <w:rsid w:val="00365614"/>
    <w:rsid w:val="00381D2F"/>
    <w:rsid w:val="00382E32"/>
    <w:rsid w:val="00383191"/>
    <w:rsid w:val="00384306"/>
    <w:rsid w:val="003968AB"/>
    <w:rsid w:val="003A2083"/>
    <w:rsid w:val="003C2B48"/>
    <w:rsid w:val="003C4F01"/>
    <w:rsid w:val="003E2190"/>
    <w:rsid w:val="00400B4E"/>
    <w:rsid w:val="00402FF5"/>
    <w:rsid w:val="00407488"/>
    <w:rsid w:val="004108AE"/>
    <w:rsid w:val="00414B36"/>
    <w:rsid w:val="00466893"/>
    <w:rsid w:val="0047629B"/>
    <w:rsid w:val="00482BD8"/>
    <w:rsid w:val="00487D0D"/>
    <w:rsid w:val="00493D18"/>
    <w:rsid w:val="004B4584"/>
    <w:rsid w:val="004B497F"/>
    <w:rsid w:val="004C0934"/>
    <w:rsid w:val="004D1C5E"/>
    <w:rsid w:val="004E0896"/>
    <w:rsid w:val="004E0ADF"/>
    <w:rsid w:val="004E2825"/>
    <w:rsid w:val="00500075"/>
    <w:rsid w:val="005051CF"/>
    <w:rsid w:val="00506463"/>
    <w:rsid w:val="00532883"/>
    <w:rsid w:val="0054341D"/>
    <w:rsid w:val="005454F5"/>
    <w:rsid w:val="00545BC1"/>
    <w:rsid w:val="005611B0"/>
    <w:rsid w:val="00570385"/>
    <w:rsid w:val="00585E99"/>
    <w:rsid w:val="005A0249"/>
    <w:rsid w:val="005B0DE8"/>
    <w:rsid w:val="005D1E20"/>
    <w:rsid w:val="005D7384"/>
    <w:rsid w:val="005E6059"/>
    <w:rsid w:val="00617491"/>
    <w:rsid w:val="006242C0"/>
    <w:rsid w:val="00650E6C"/>
    <w:rsid w:val="00652EFA"/>
    <w:rsid w:val="0068319A"/>
    <w:rsid w:val="00687ABC"/>
    <w:rsid w:val="006933F3"/>
    <w:rsid w:val="006942D7"/>
    <w:rsid w:val="006A125E"/>
    <w:rsid w:val="006B7681"/>
    <w:rsid w:val="006C188B"/>
    <w:rsid w:val="006C5618"/>
    <w:rsid w:val="006E1F42"/>
    <w:rsid w:val="006E51CB"/>
    <w:rsid w:val="006E7057"/>
    <w:rsid w:val="00705F8F"/>
    <w:rsid w:val="0071420C"/>
    <w:rsid w:val="00723E34"/>
    <w:rsid w:val="0073319E"/>
    <w:rsid w:val="00751C86"/>
    <w:rsid w:val="00775072"/>
    <w:rsid w:val="007B7DA9"/>
    <w:rsid w:val="007D4ECA"/>
    <w:rsid w:val="007D6990"/>
    <w:rsid w:val="007E0B8D"/>
    <w:rsid w:val="007E27A5"/>
    <w:rsid w:val="007E2DDD"/>
    <w:rsid w:val="007F2047"/>
    <w:rsid w:val="00810669"/>
    <w:rsid w:val="008209CF"/>
    <w:rsid w:val="008233AF"/>
    <w:rsid w:val="00826112"/>
    <w:rsid w:val="0084086A"/>
    <w:rsid w:val="008500A6"/>
    <w:rsid w:val="008746FF"/>
    <w:rsid w:val="008765FD"/>
    <w:rsid w:val="00884CCD"/>
    <w:rsid w:val="008A512C"/>
    <w:rsid w:val="008C30F7"/>
    <w:rsid w:val="008D0F5F"/>
    <w:rsid w:val="008F4774"/>
    <w:rsid w:val="00913E83"/>
    <w:rsid w:val="00921182"/>
    <w:rsid w:val="0094149A"/>
    <w:rsid w:val="0094177E"/>
    <w:rsid w:val="009520EA"/>
    <w:rsid w:val="009700E4"/>
    <w:rsid w:val="00983524"/>
    <w:rsid w:val="009B0F28"/>
    <w:rsid w:val="009B68DC"/>
    <w:rsid w:val="009E28FB"/>
    <w:rsid w:val="00A00F32"/>
    <w:rsid w:val="00A04DA3"/>
    <w:rsid w:val="00A05608"/>
    <w:rsid w:val="00A5387F"/>
    <w:rsid w:val="00A549B1"/>
    <w:rsid w:val="00A65414"/>
    <w:rsid w:val="00AA6FE7"/>
    <w:rsid w:val="00AB42CB"/>
    <w:rsid w:val="00AB740B"/>
    <w:rsid w:val="00AC25BE"/>
    <w:rsid w:val="00AC3092"/>
    <w:rsid w:val="00AD666A"/>
    <w:rsid w:val="00B2213D"/>
    <w:rsid w:val="00B6257F"/>
    <w:rsid w:val="00B6504A"/>
    <w:rsid w:val="00B86211"/>
    <w:rsid w:val="00B90FD3"/>
    <w:rsid w:val="00B95159"/>
    <w:rsid w:val="00BB485F"/>
    <w:rsid w:val="00BD0F21"/>
    <w:rsid w:val="00BF42AD"/>
    <w:rsid w:val="00C010E3"/>
    <w:rsid w:val="00C10873"/>
    <w:rsid w:val="00C135FD"/>
    <w:rsid w:val="00C20FB7"/>
    <w:rsid w:val="00C3312A"/>
    <w:rsid w:val="00C56265"/>
    <w:rsid w:val="00C64134"/>
    <w:rsid w:val="00C711B3"/>
    <w:rsid w:val="00CC079F"/>
    <w:rsid w:val="00CD1CE2"/>
    <w:rsid w:val="00CD6680"/>
    <w:rsid w:val="00D04D51"/>
    <w:rsid w:val="00D116BE"/>
    <w:rsid w:val="00D20C4A"/>
    <w:rsid w:val="00D33795"/>
    <w:rsid w:val="00D611BC"/>
    <w:rsid w:val="00D7760E"/>
    <w:rsid w:val="00D828E6"/>
    <w:rsid w:val="00D841F4"/>
    <w:rsid w:val="00D906DE"/>
    <w:rsid w:val="00D95E02"/>
    <w:rsid w:val="00DA4C1C"/>
    <w:rsid w:val="00DA70F4"/>
    <w:rsid w:val="00DB0050"/>
    <w:rsid w:val="00DB3D50"/>
    <w:rsid w:val="00DC333B"/>
    <w:rsid w:val="00E04502"/>
    <w:rsid w:val="00E1700B"/>
    <w:rsid w:val="00E178CD"/>
    <w:rsid w:val="00E505D3"/>
    <w:rsid w:val="00E51206"/>
    <w:rsid w:val="00E55AEE"/>
    <w:rsid w:val="00E756DC"/>
    <w:rsid w:val="00E86F59"/>
    <w:rsid w:val="00EA39C0"/>
    <w:rsid w:val="00EC2F94"/>
    <w:rsid w:val="00ED08BA"/>
    <w:rsid w:val="00ED10FC"/>
    <w:rsid w:val="00EF2C93"/>
    <w:rsid w:val="00F12545"/>
    <w:rsid w:val="00F30478"/>
    <w:rsid w:val="00F415B1"/>
    <w:rsid w:val="00F525AB"/>
    <w:rsid w:val="00F543AF"/>
    <w:rsid w:val="00F67103"/>
    <w:rsid w:val="00F71D61"/>
    <w:rsid w:val="00F84E3C"/>
    <w:rsid w:val="00FC1547"/>
    <w:rsid w:val="00FC25FB"/>
    <w:rsid w:val="00FC3657"/>
    <w:rsid w:val="00FE2750"/>
    <w:rsid w:val="00FE36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EDA8C31"/>
  <w15:docId w15:val="{23B7B8BF-FA86-4687-A8D5-2A6A921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7"/>
        <w:szCs w:val="27"/>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B4584"/>
    <w:pPr>
      <w:widowControl w:val="0"/>
      <w:autoSpaceDE w:val="0"/>
      <w:autoSpaceDN w:val="0"/>
      <w:spacing w:after="0" w:line="240" w:lineRule="auto"/>
    </w:pPr>
    <w:rPr>
      <w:rFonts w:ascii="Cambria" w:eastAsia="Cambria" w:hAnsi="Cambria" w:cs="Cambria"/>
      <w:color w:val="auto"/>
      <w:sz w:val="22"/>
      <w:szCs w:val="22"/>
      <w:lang w:val="en-US"/>
    </w:rPr>
  </w:style>
  <w:style w:type="paragraph" w:styleId="Titolo4">
    <w:name w:val="heading 4"/>
    <w:basedOn w:val="Normale"/>
    <w:link w:val="Titolo4Carattere"/>
    <w:uiPriority w:val="1"/>
    <w:qFormat/>
    <w:rsid w:val="004B4584"/>
    <w:pPr>
      <w:spacing w:before="1"/>
      <w:ind w:left="582"/>
      <w:outlineLvl w:val="3"/>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1"/>
    <w:rsid w:val="004B4584"/>
    <w:rPr>
      <w:rFonts w:ascii="Cambria" w:eastAsia="Cambria" w:hAnsi="Cambria" w:cs="Cambria"/>
      <w:color w:val="auto"/>
      <w:sz w:val="28"/>
      <w:szCs w:val="28"/>
      <w:lang w:val="en-US"/>
    </w:rPr>
  </w:style>
  <w:style w:type="paragraph" w:styleId="Corpotesto">
    <w:name w:val="Body Text"/>
    <w:basedOn w:val="Normale"/>
    <w:link w:val="CorpotestoCarattere"/>
    <w:uiPriority w:val="1"/>
    <w:qFormat/>
    <w:rsid w:val="004B4584"/>
    <w:rPr>
      <w:sz w:val="24"/>
      <w:szCs w:val="24"/>
    </w:rPr>
  </w:style>
  <w:style w:type="character" w:customStyle="1" w:styleId="CorpotestoCarattere">
    <w:name w:val="Corpo testo Carattere"/>
    <w:basedOn w:val="Carpredefinitoparagrafo"/>
    <w:link w:val="Corpotesto"/>
    <w:uiPriority w:val="1"/>
    <w:rsid w:val="004B4584"/>
    <w:rPr>
      <w:rFonts w:ascii="Cambria" w:eastAsia="Cambria" w:hAnsi="Cambria" w:cs="Cambria"/>
      <w:color w:val="auto"/>
      <w:sz w:val="24"/>
      <w:szCs w:val="24"/>
      <w:lang w:val="en-US"/>
    </w:rPr>
  </w:style>
  <w:style w:type="paragraph" w:styleId="Testofumetto">
    <w:name w:val="Balloon Text"/>
    <w:basedOn w:val="Normale"/>
    <w:link w:val="TestofumettoCarattere"/>
    <w:uiPriority w:val="99"/>
    <w:semiHidden/>
    <w:unhideWhenUsed/>
    <w:rsid w:val="004B45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584"/>
    <w:rPr>
      <w:rFonts w:ascii="Tahoma" w:eastAsia="Cambria" w:hAnsi="Tahoma" w:cs="Tahoma"/>
      <w:color w:val="auto"/>
      <w:sz w:val="16"/>
      <w:szCs w:val="16"/>
      <w:lang w:val="en-US"/>
    </w:rPr>
  </w:style>
  <w:style w:type="paragraph" w:styleId="Intestazione">
    <w:name w:val="header"/>
    <w:basedOn w:val="Normale"/>
    <w:link w:val="IntestazioneCarattere"/>
    <w:uiPriority w:val="99"/>
    <w:unhideWhenUsed/>
    <w:rsid w:val="008765FD"/>
    <w:pPr>
      <w:tabs>
        <w:tab w:val="center" w:pos="4819"/>
        <w:tab w:val="right" w:pos="9638"/>
      </w:tabs>
    </w:pPr>
  </w:style>
  <w:style w:type="character" w:customStyle="1" w:styleId="IntestazioneCarattere">
    <w:name w:val="Intestazione Carattere"/>
    <w:basedOn w:val="Carpredefinitoparagrafo"/>
    <w:link w:val="Intestazione"/>
    <w:uiPriority w:val="99"/>
    <w:rsid w:val="008765FD"/>
    <w:rPr>
      <w:rFonts w:ascii="Cambria" w:eastAsia="Cambria" w:hAnsi="Cambria" w:cs="Cambria"/>
      <w:color w:val="auto"/>
      <w:sz w:val="22"/>
      <w:szCs w:val="22"/>
      <w:lang w:val="en-US"/>
    </w:rPr>
  </w:style>
  <w:style w:type="paragraph" w:styleId="Pidipagina">
    <w:name w:val="footer"/>
    <w:basedOn w:val="Normale"/>
    <w:link w:val="PidipaginaCarattere"/>
    <w:uiPriority w:val="99"/>
    <w:unhideWhenUsed/>
    <w:rsid w:val="008765FD"/>
    <w:pPr>
      <w:tabs>
        <w:tab w:val="center" w:pos="4819"/>
        <w:tab w:val="right" w:pos="9638"/>
      </w:tabs>
    </w:pPr>
  </w:style>
  <w:style w:type="character" w:customStyle="1" w:styleId="PidipaginaCarattere">
    <w:name w:val="Piè di pagina Carattere"/>
    <w:basedOn w:val="Carpredefinitoparagrafo"/>
    <w:link w:val="Pidipagina"/>
    <w:uiPriority w:val="99"/>
    <w:rsid w:val="008765FD"/>
    <w:rPr>
      <w:rFonts w:ascii="Cambria" w:eastAsia="Cambria" w:hAnsi="Cambria" w:cs="Cambria"/>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6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8DFE7-3984-44E5-8E22-C70F84BA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3833</Words>
  <Characters>21853</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 Consulting</dc:creator>
  <cp:lastModifiedBy>Antonino Malaspina</cp:lastModifiedBy>
  <cp:revision>5</cp:revision>
  <cp:lastPrinted>2024-07-23T09:55:00Z</cp:lastPrinted>
  <dcterms:created xsi:type="dcterms:W3CDTF">2025-06-25T14:59:00Z</dcterms:created>
  <dcterms:modified xsi:type="dcterms:W3CDTF">2025-10-23T07:16:00Z</dcterms:modified>
</cp:coreProperties>
</file>